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600"/>
        <w:rPr>
          <w:rFonts w:hint="eastAsia" w:ascii="仿宋_GB2312" w:hAnsi="仿宋_GB2312" w:eastAsia="仿宋_GB2312" w:cs="仿宋_GB2312"/>
          <w:sz w:val="32"/>
          <w:szCs w:val="32"/>
        </w:rPr>
      </w:pPr>
    </w:p>
    <w:p>
      <w:pPr>
        <w:ind w:firstLine="600"/>
        <w:rPr>
          <w:rFonts w:hint="eastAsia" w:ascii="仿宋_GB2312" w:hAnsi="仿宋_GB2312" w:eastAsia="仿宋_GB2312" w:cs="仿宋_GB2312"/>
          <w:sz w:val="32"/>
          <w:szCs w:val="32"/>
        </w:rPr>
      </w:pP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为贯彻落实中央绿色发展理念，带动重点区域重点行业制造业加快实现绿色转型升级，经研究，财政部、工业和信息化部决定开展中央财政支持绿色制造示范工作。现将有关事项通知如下：</w:t>
      </w:r>
    </w:p>
    <w:p>
      <w:pPr>
        <w:ind w:firstLine="640" w:firstLineChars="200"/>
        <w:jc w:val="left"/>
        <w:rPr>
          <w:rFonts w:ascii="黑体" w:hAnsi="黑体" w:eastAsia="黑体"/>
          <w:bCs/>
          <w:sz w:val="32"/>
          <w:szCs w:val="32"/>
        </w:rPr>
      </w:pPr>
      <w:r>
        <w:rPr>
          <w:rFonts w:hint="eastAsia" w:ascii="黑体" w:hAnsi="黑体" w:eastAsia="黑体"/>
          <w:bCs/>
          <w:sz w:val="32"/>
          <w:szCs w:val="32"/>
        </w:rPr>
        <w:t>一、开展绿色制造示范工作的重要性</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当前，我国制造业绿色化、智能化水平偏低，资源能源利用效率、污染物排放强度与先进水平有较大差距，成为制约经济可持续发展的重要因素。十八届五中全会确立了绿色发展理念，《中国制造2025》也将绿色发展作为制造强国的基本方针，把绿色制造作为五大工程之一。推进绿色制造，不是单纯的节能降耗，涉及技术、产业组织等多方面，核心是将绿色理念和技术工艺贯穿制造业全产业链，通过技术创新做到环境影响最小、资源利用效率最高。开展绿色制造示范，既是落实中央绿色发展理念和制造强国建设战略的迫切需要，也是推进供给侧结构性改革的重要途径，有利于缓解当前资源环境瓶颈约束，加快培育新的经济增长点，引领工业绿色发展新路径。</w:t>
      </w:r>
    </w:p>
    <w:p>
      <w:pPr>
        <w:ind w:firstLine="600"/>
        <w:rPr>
          <w:rFonts w:ascii="黑体" w:hAnsi="黑体" w:eastAsia="黑体"/>
          <w:sz w:val="32"/>
          <w:szCs w:val="32"/>
        </w:rPr>
      </w:pPr>
      <w:r>
        <w:rPr>
          <w:rFonts w:hint="eastAsia" w:ascii="黑体" w:hAnsi="黑体" w:eastAsia="黑体"/>
          <w:sz w:val="32"/>
          <w:szCs w:val="32"/>
        </w:rPr>
        <w:t>二、总体要求</w:t>
      </w:r>
    </w:p>
    <w:p>
      <w:pPr>
        <w:ind w:firstLine="607" w:firstLineChars="189"/>
        <w:rPr>
          <w:rFonts w:ascii="仿宋_GB2312" w:eastAsia="仿宋_GB2312"/>
          <w:b/>
          <w:sz w:val="32"/>
          <w:szCs w:val="32"/>
        </w:rPr>
      </w:pPr>
      <w:r>
        <w:rPr>
          <w:rFonts w:hint="eastAsia" w:ascii="仿宋_GB2312" w:eastAsia="仿宋_GB2312"/>
          <w:b/>
          <w:sz w:val="32"/>
          <w:szCs w:val="32"/>
        </w:rPr>
        <w:t>（一）主要目标。</w:t>
      </w:r>
    </w:p>
    <w:p>
      <w:pPr>
        <w:ind w:firstLine="605" w:firstLineChars="189"/>
        <w:rPr>
          <w:rFonts w:ascii="仿宋_GB2312" w:eastAsia="仿宋_GB2312"/>
          <w:sz w:val="32"/>
          <w:szCs w:val="32"/>
        </w:rPr>
      </w:pPr>
      <w:r>
        <w:rPr>
          <w:rFonts w:hint="eastAsia" w:ascii="仿宋_GB2312" w:eastAsia="仿宋_GB2312"/>
          <w:sz w:val="32"/>
          <w:szCs w:val="32"/>
        </w:rPr>
        <w:t>2016年-2020年，选取若干城市开展绿色制造示范工作，通过财政资金奖励引导，结合区域要解决的重大资源环境问题，推动重点企业实施绿色改造，实现污染物排放强度明显下降，力争能效水效及资源利用效率达到行业先进水平，普遍应用先进适用绿色工艺技术及装备,形成具有地方特色的绿色制造体系，引导制造业绿色发展。</w:t>
      </w:r>
    </w:p>
    <w:p>
      <w:pPr>
        <w:ind w:firstLine="643" w:firstLineChars="200"/>
        <w:rPr>
          <w:rFonts w:ascii="仿宋_GB2312" w:eastAsia="仿宋_GB2312"/>
          <w:b/>
          <w:sz w:val="32"/>
          <w:szCs w:val="32"/>
        </w:rPr>
      </w:pPr>
      <w:r>
        <w:rPr>
          <w:rFonts w:hint="eastAsia" w:ascii="仿宋_GB2312" w:eastAsia="仿宋_GB2312"/>
          <w:b/>
          <w:sz w:val="32"/>
          <w:szCs w:val="32"/>
        </w:rPr>
        <w:t>（二）示范工作内容。</w:t>
      </w:r>
    </w:p>
    <w:p>
      <w:pPr>
        <w:ind w:firstLine="640" w:firstLineChars="200"/>
        <w:rPr>
          <w:rFonts w:ascii="仿宋_GB2312" w:eastAsia="仿宋_GB2312"/>
          <w:sz w:val="32"/>
          <w:szCs w:val="32"/>
        </w:rPr>
      </w:pPr>
      <w:r>
        <w:rPr>
          <w:rFonts w:hint="eastAsia" w:ascii="仿宋_GB2312" w:eastAsia="仿宋_GB2312"/>
          <w:sz w:val="32"/>
          <w:szCs w:val="32"/>
        </w:rPr>
        <w:t>示范城市根据绿色制造示范工作年度重点支持行业并结合城市主导产业，</w:t>
      </w:r>
      <w:r>
        <w:rPr>
          <w:rFonts w:hint="eastAsia" w:ascii="Times New Roman" w:hAnsi="Times New Roman" w:eastAsia="仿宋_GB2312" w:cs="Times New Roman"/>
          <w:sz w:val="32"/>
          <w:szCs w:val="32"/>
        </w:rPr>
        <w:t>选择</w:t>
      </w:r>
      <w:r>
        <w:rPr>
          <w:rFonts w:hint="eastAsia" w:ascii="仿宋_GB2312" w:hAnsi="楷体_GB2312" w:eastAsia="仿宋_GB2312" w:cs="楷体_GB2312"/>
          <w:bCs/>
          <w:sz w:val="32"/>
          <w:szCs w:val="32"/>
        </w:rPr>
        <w:t>区域内</w:t>
      </w:r>
      <w:r>
        <w:rPr>
          <w:rFonts w:hint="eastAsia" w:ascii="仿宋_GB2312" w:eastAsia="仿宋_GB2312"/>
          <w:sz w:val="32"/>
          <w:szCs w:val="32"/>
        </w:rPr>
        <w:t>具有行业代表性、产业集中度较高的重点企业实施绿色改造，重点针对示范工作申报指南所附的污染物排放、资源利用率等行业重点评价指标和其他绿色制造相关指标要求，提出绿色制造示范目标。具体改造包括生产过程清洁化改造、能源利用高效低碳化改造、</w:t>
      </w:r>
      <w:r>
        <w:rPr>
          <w:rFonts w:hint="eastAsia" w:ascii="Times New Roman" w:hAnsi="Times New Roman" w:eastAsia="仿宋_GB2312" w:cs="Times New Roman"/>
          <w:sz w:val="32"/>
          <w:szCs w:val="32"/>
        </w:rPr>
        <w:t>水资源利用高效化改造、工业资源综合利用</w:t>
      </w:r>
      <w:r>
        <w:rPr>
          <w:rFonts w:hint="eastAsia" w:ascii="仿宋_GB2312" w:eastAsia="仿宋_GB2312"/>
          <w:sz w:val="32"/>
          <w:szCs w:val="32"/>
        </w:rPr>
        <w:t>改造、</w:t>
      </w:r>
      <w:r>
        <w:rPr>
          <w:rFonts w:hint="eastAsia" w:ascii="Times New Roman" w:hAnsi="Times New Roman" w:eastAsia="仿宋_GB2312" w:cs="Times New Roman"/>
          <w:sz w:val="32"/>
          <w:szCs w:val="32"/>
        </w:rPr>
        <w:t>基础制造工艺绿色化改造等</w:t>
      </w:r>
      <w:r>
        <w:rPr>
          <w:rFonts w:hint="eastAsia" w:ascii="仿宋_GB2312" w:eastAsia="仿宋_GB2312"/>
          <w:sz w:val="32"/>
          <w:szCs w:val="32"/>
        </w:rPr>
        <w:t>,实现污染物排放降低、能效水效及资源综合利用水平提升。同时，示范城市要按照绿色制造水平提升、产业绿色转型升级等总体要求，通过深化体制机制改革、完善财税、金融、产业激励政策等，营造绿色发展良好政策环境,提出城市绿色发展综合指标。</w:t>
      </w:r>
    </w:p>
    <w:p>
      <w:pPr>
        <w:ind w:firstLine="600"/>
        <w:rPr>
          <w:rFonts w:ascii="黑体" w:hAnsi="黑体" w:eastAsia="黑体"/>
          <w:sz w:val="32"/>
          <w:szCs w:val="32"/>
        </w:rPr>
      </w:pPr>
      <w:r>
        <w:rPr>
          <w:rFonts w:hint="eastAsia" w:ascii="黑体" w:hAnsi="黑体" w:eastAsia="黑体"/>
          <w:sz w:val="32"/>
          <w:szCs w:val="32"/>
        </w:rPr>
        <w:t>三、中央财政奖励政策和示范城市确定</w:t>
      </w:r>
    </w:p>
    <w:p>
      <w:pPr>
        <w:ind w:firstLine="600"/>
        <w:rPr>
          <w:rFonts w:ascii="仿宋_GB2312" w:eastAsia="仿宋_GB2312"/>
          <w:sz w:val="32"/>
          <w:szCs w:val="32"/>
        </w:rPr>
      </w:pPr>
      <w:r>
        <w:rPr>
          <w:rFonts w:hint="eastAsia" w:ascii="仿宋_GB2312" w:eastAsia="仿宋_GB2312"/>
          <w:b/>
          <w:sz w:val="32"/>
          <w:szCs w:val="32"/>
        </w:rPr>
        <w:t>（一）中央财政给予示范城市奖励支持。</w:t>
      </w:r>
      <w:r>
        <w:rPr>
          <w:rFonts w:hint="eastAsia" w:ascii="仿宋_GB2312" w:eastAsia="仿宋_GB2312"/>
          <w:sz w:val="32"/>
          <w:szCs w:val="32"/>
        </w:rPr>
        <w:t>中央财政通过工业转型升级（中国制造2025）专项资金，给予绿色制造示范城市（包括</w:t>
      </w:r>
      <w:r>
        <w:rPr>
          <w:rFonts w:ascii="仿宋_GB2312" w:eastAsia="仿宋_GB2312"/>
          <w:sz w:val="32"/>
          <w:szCs w:val="32"/>
        </w:rPr>
        <w:t>直辖市</w:t>
      </w:r>
      <w:r>
        <w:rPr>
          <w:rFonts w:hint="eastAsia" w:ascii="仿宋_GB2312" w:eastAsia="仿宋_GB2312"/>
          <w:sz w:val="32"/>
          <w:szCs w:val="32"/>
        </w:rPr>
        <w:t>、</w:t>
      </w:r>
      <w:r>
        <w:rPr>
          <w:rFonts w:ascii="仿宋_GB2312" w:eastAsia="仿宋_GB2312"/>
          <w:sz w:val="32"/>
          <w:szCs w:val="32"/>
        </w:rPr>
        <w:t>省会城市、</w:t>
      </w:r>
      <w:r>
        <w:rPr>
          <w:rFonts w:hint="eastAsia" w:ascii="仿宋_GB2312" w:eastAsia="仿宋_GB2312"/>
          <w:sz w:val="32"/>
          <w:szCs w:val="32"/>
        </w:rPr>
        <w:t>计划单列市、</w:t>
      </w:r>
      <w:r>
        <w:rPr>
          <w:rFonts w:ascii="仿宋_GB2312" w:eastAsia="仿宋_GB2312"/>
          <w:sz w:val="32"/>
          <w:szCs w:val="32"/>
        </w:rPr>
        <w:t>一般地级城市</w:t>
      </w:r>
      <w:r>
        <w:rPr>
          <w:rFonts w:hint="eastAsia" w:ascii="仿宋_GB2312" w:eastAsia="仿宋_GB2312"/>
          <w:sz w:val="32"/>
          <w:szCs w:val="32"/>
        </w:rPr>
        <w:t>）2亿元奖励支持，由示范城市统筹使用。示范城市确定后，预拨部分奖励资金作为启动资金。</w:t>
      </w:r>
    </w:p>
    <w:p>
      <w:pPr>
        <w:ind w:firstLine="643" w:firstLineChars="200"/>
        <w:rPr>
          <w:rFonts w:ascii="仿宋_GB2312" w:eastAsia="仿宋_GB2312"/>
          <w:sz w:val="32"/>
          <w:szCs w:val="32"/>
        </w:rPr>
      </w:pPr>
      <w:r>
        <w:rPr>
          <w:rFonts w:hint="eastAsia" w:ascii="仿宋_GB2312" w:eastAsia="仿宋_GB2312"/>
          <w:b/>
          <w:sz w:val="32"/>
          <w:szCs w:val="32"/>
        </w:rPr>
        <w:t>（二）示范城市申报。</w:t>
      </w:r>
      <w:r>
        <w:rPr>
          <w:rFonts w:hint="eastAsia" w:ascii="仿宋_GB2312" w:eastAsia="仿宋_GB2312"/>
          <w:sz w:val="32"/>
          <w:szCs w:val="32"/>
        </w:rPr>
        <w:t>示范城市由省级财政、工业和信息化主管部门联合申报。申报城市要编制实施期不超过三年的实施方案。实施方案编制指南另行印发。</w:t>
      </w:r>
    </w:p>
    <w:p>
      <w:pPr>
        <w:ind w:firstLine="643" w:firstLineChars="200"/>
        <w:rPr>
          <w:rFonts w:ascii="仿宋_GB2312" w:eastAsia="仿宋_GB2312"/>
          <w:sz w:val="32"/>
          <w:szCs w:val="32"/>
        </w:rPr>
      </w:pPr>
      <w:r>
        <w:rPr>
          <w:rFonts w:hint="eastAsia" w:ascii="仿宋_GB2312" w:eastAsia="仿宋_GB2312"/>
          <w:b/>
          <w:sz w:val="32"/>
          <w:szCs w:val="32"/>
        </w:rPr>
        <w:t>（三）公开竞争评审。</w:t>
      </w:r>
      <w:r>
        <w:rPr>
          <w:rFonts w:ascii="仿宋_GB2312" w:eastAsia="仿宋_GB2312"/>
          <w:sz w:val="32"/>
          <w:szCs w:val="32"/>
        </w:rPr>
        <w:t>财</w:t>
      </w:r>
      <w:r>
        <w:rPr>
          <w:rFonts w:hint="eastAsia" w:ascii="仿宋_GB2312" w:eastAsia="仿宋_GB2312"/>
          <w:sz w:val="32"/>
          <w:szCs w:val="32"/>
        </w:rPr>
        <w:t>政部、工业</w:t>
      </w:r>
      <w:r>
        <w:rPr>
          <w:rFonts w:ascii="仿宋_GB2312" w:eastAsia="仿宋_GB2312"/>
          <w:sz w:val="32"/>
          <w:szCs w:val="32"/>
        </w:rPr>
        <w:t>和信息化部</w:t>
      </w:r>
      <w:r>
        <w:rPr>
          <w:rFonts w:hint="eastAsia" w:ascii="仿宋_GB2312" w:eastAsia="仿宋_GB2312"/>
          <w:sz w:val="32"/>
          <w:szCs w:val="32"/>
        </w:rPr>
        <w:t>将对申报城市进行资格审核。对通过资格审核的城市，委托具有相应专业咨询资质的第三方机构，按照公平公正公开的原则对申报城市实施方案进行评审论证，确定示范城市名单。</w:t>
      </w:r>
    </w:p>
    <w:p>
      <w:pPr>
        <w:ind w:firstLine="643" w:firstLineChars="200"/>
        <w:rPr>
          <w:rFonts w:ascii="仿宋_GB2312" w:eastAsia="仿宋_GB2312"/>
          <w:sz w:val="32"/>
          <w:szCs w:val="32"/>
        </w:rPr>
      </w:pPr>
      <w:r>
        <w:rPr>
          <w:rFonts w:hint="eastAsia" w:ascii="仿宋_GB2312" w:eastAsia="仿宋_GB2312"/>
          <w:b/>
          <w:sz w:val="32"/>
          <w:szCs w:val="32"/>
        </w:rPr>
        <w:t>（四）示范工作考核。</w:t>
      </w:r>
      <w:r>
        <w:rPr>
          <w:rFonts w:hint="eastAsia" w:ascii="仿宋_GB2312" w:eastAsia="仿宋_GB2312"/>
          <w:sz w:val="32"/>
          <w:szCs w:val="32"/>
        </w:rPr>
        <w:t>工业和信息化部、财政部定期对示范工作组织开展考核，并根据考核结果进行奖惩。考核结果好的，拨付剩余奖励资金。考核结果差的，</w:t>
      </w:r>
      <w:r>
        <w:rPr>
          <w:rFonts w:hint="eastAsia" w:ascii="仿宋_GB2312" w:hAnsi="仿宋" w:eastAsia="仿宋_GB2312"/>
          <w:color w:val="000000"/>
          <w:sz w:val="32"/>
          <w:szCs w:val="32"/>
        </w:rPr>
        <w:t>后续奖励资金不再拨付</w:t>
      </w:r>
      <w:r>
        <w:rPr>
          <w:rFonts w:hint="eastAsia" w:ascii="仿宋_GB2312" w:eastAsia="仿宋_GB2312"/>
          <w:sz w:val="32"/>
          <w:szCs w:val="32"/>
        </w:rPr>
        <w:t>。具体考核办法另行制订。</w:t>
      </w: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方正小标宋简体" w:hAnsi="方正小标宋简体" w:eastAsia="方正小标宋简体" w:cs="方正小标宋简体"/>
          <w:bCs/>
          <w:sz w:val="32"/>
          <w:szCs w:val="32"/>
        </w:rPr>
      </w:pPr>
    </w:p>
    <w:p>
      <w:pPr>
        <w:widowControl/>
        <w:jc w:val="center"/>
        <w:rPr>
          <w:rFonts w:ascii="黑体" w:hAnsi="黑体" w:eastAsia="黑体" w:cs="方正小标宋简体"/>
          <w:bCs/>
          <w:sz w:val="32"/>
          <w:szCs w:val="32"/>
        </w:rPr>
      </w:pPr>
      <w:r>
        <w:rPr>
          <w:rFonts w:hint="eastAsia" w:ascii="黑体" w:hAnsi="黑体" w:eastAsia="黑体" w:cs="方正小标宋简体"/>
          <w:bCs/>
          <w:sz w:val="32"/>
          <w:szCs w:val="32"/>
        </w:rPr>
        <w:t>2016年绿色制造示范城市申报指南</w:t>
      </w:r>
    </w:p>
    <w:p>
      <w:pPr>
        <w:widowControl/>
        <w:ind w:firstLine="604" w:firstLineChars="188"/>
        <w:jc w:val="left"/>
        <w:rPr>
          <w:rFonts w:ascii="宋体" w:hAnsi="宋体"/>
          <w:b/>
          <w:sz w:val="32"/>
          <w:szCs w:val="32"/>
        </w:rPr>
      </w:pPr>
    </w:p>
    <w:p>
      <w:pPr>
        <w:ind w:firstLine="605" w:firstLineChars="189"/>
        <w:rPr>
          <w:rFonts w:ascii="仿宋_GB2312" w:eastAsia="仿宋_GB2312"/>
          <w:sz w:val="32"/>
          <w:szCs w:val="32"/>
        </w:rPr>
      </w:pPr>
      <w:r>
        <w:rPr>
          <w:rFonts w:hint="eastAsia" w:ascii="仿宋_GB2312" w:eastAsia="仿宋_GB2312"/>
          <w:sz w:val="32"/>
          <w:szCs w:val="32"/>
        </w:rPr>
        <w:t>2016年，结合国家区域发展战略，选取一批城市，重点围绕电子信息、煤化工、纺织印染、有色金属、陶瓷等具备一定工作基础且绿色发展要求高、资源能源消耗量大的行业开展绿色制造示范工作。</w:t>
      </w:r>
    </w:p>
    <w:p>
      <w:pPr>
        <w:ind w:firstLine="605" w:firstLineChars="189"/>
        <w:rPr>
          <w:rFonts w:ascii="黑体" w:hAnsi="黑体" w:eastAsia="黑体"/>
          <w:sz w:val="32"/>
          <w:szCs w:val="32"/>
        </w:rPr>
      </w:pPr>
      <w:r>
        <w:rPr>
          <w:rFonts w:hint="eastAsia" w:ascii="黑体" w:hAnsi="黑体" w:eastAsia="黑体"/>
          <w:sz w:val="32"/>
          <w:szCs w:val="32"/>
        </w:rPr>
        <w:t>一、申报城市要求</w:t>
      </w:r>
    </w:p>
    <w:p>
      <w:pPr>
        <w:ind w:firstLine="605" w:firstLineChars="189"/>
        <w:rPr>
          <w:rFonts w:ascii="仿宋_GB2312" w:eastAsia="仿宋_GB2312"/>
          <w:sz w:val="32"/>
          <w:szCs w:val="32"/>
        </w:rPr>
      </w:pPr>
      <w:r>
        <w:rPr>
          <w:rFonts w:hint="eastAsia" w:ascii="仿宋_GB2312" w:eastAsia="仿宋_GB2312"/>
          <w:sz w:val="32"/>
          <w:szCs w:val="32"/>
        </w:rPr>
        <w:t>申报城市要在本省工业发展中具有较强的代表性，对区域绿色发展的影响较大，工业发展基础好、重点行业集聚性强、重点企业在行业内有一定的示范引领作用。</w:t>
      </w:r>
    </w:p>
    <w:p>
      <w:pPr>
        <w:widowControl/>
        <w:ind w:firstLine="602" w:firstLineChars="188"/>
        <w:jc w:val="left"/>
        <w:rPr>
          <w:rFonts w:ascii="黑体" w:hAnsi="黑体" w:eastAsia="黑体"/>
          <w:sz w:val="32"/>
          <w:szCs w:val="32"/>
        </w:rPr>
      </w:pPr>
      <w:r>
        <w:rPr>
          <w:rFonts w:hint="eastAsia" w:ascii="黑体" w:hAnsi="黑体" w:eastAsia="黑体"/>
          <w:sz w:val="32"/>
          <w:szCs w:val="32"/>
        </w:rPr>
        <w:t>二、示范城市选择流程</w:t>
      </w:r>
    </w:p>
    <w:p>
      <w:pPr>
        <w:ind w:firstLine="643" w:firstLineChars="200"/>
        <w:rPr>
          <w:rFonts w:ascii="仿宋_GB2312" w:eastAsia="仿宋_GB2312"/>
          <w:sz w:val="32"/>
          <w:szCs w:val="32"/>
        </w:rPr>
      </w:pPr>
      <w:r>
        <w:rPr>
          <w:rFonts w:hint="eastAsia" w:ascii="仿宋_GB2312" w:eastAsia="仿宋_GB2312"/>
          <w:b/>
          <w:sz w:val="32"/>
          <w:szCs w:val="32"/>
        </w:rPr>
        <w:t>（一）</w:t>
      </w:r>
      <w:r>
        <w:rPr>
          <w:rFonts w:hint="eastAsia" w:ascii="仿宋_GB2312" w:hAnsi="楷体_GB2312" w:eastAsia="仿宋_GB2312" w:cs="楷体_GB2312"/>
          <w:b/>
          <w:sz w:val="32"/>
          <w:szCs w:val="32"/>
        </w:rPr>
        <w:t>省级择优推荐。</w:t>
      </w:r>
      <w:r>
        <w:rPr>
          <w:rFonts w:hint="eastAsia" w:ascii="仿宋_GB2312" w:eastAsia="仿宋_GB2312"/>
          <w:sz w:val="32"/>
          <w:szCs w:val="32"/>
        </w:rPr>
        <w:t>省级工业和信息化主管部门会同财政部门，结合国家区域发展战略，择优组织符合条件的1个城市（包括直辖市、省会城市、计划单列市、一般地级城市，计划单列市单独上报）申请开展绿色制造示范，由省级工业和信息化主管部门会同财政部门向工业和信息化部、财政部（以下简称两部门）提出申请。</w:t>
      </w:r>
    </w:p>
    <w:p>
      <w:pPr>
        <w:ind w:firstLine="643" w:firstLineChars="200"/>
        <w:rPr>
          <w:rFonts w:ascii="仿宋_GB2312" w:eastAsia="仿宋_GB2312"/>
          <w:sz w:val="32"/>
          <w:szCs w:val="32"/>
        </w:rPr>
      </w:pPr>
      <w:r>
        <w:rPr>
          <w:rFonts w:hint="eastAsia" w:ascii="仿宋_GB2312" w:hAnsi="楷体_GB2312" w:eastAsia="仿宋_GB2312" w:cs="楷体_GB2312"/>
          <w:b/>
          <w:bCs/>
          <w:sz w:val="32"/>
          <w:szCs w:val="32"/>
        </w:rPr>
        <w:t>（二）工作方案编制。</w:t>
      </w:r>
      <w:r>
        <w:rPr>
          <w:rFonts w:hint="eastAsia" w:ascii="仿宋_GB2312" w:eastAsia="仿宋_GB2312"/>
          <w:sz w:val="32"/>
          <w:szCs w:val="32"/>
        </w:rPr>
        <w:t>申报城市按照要求，以辖区内特定区域为主，编制《XX市绿色制造示范工作方案》，示范期不超过3年，</w:t>
      </w:r>
      <w:r>
        <w:rPr>
          <w:rFonts w:hint="eastAsia" w:ascii="仿宋_GB2312" w:hAnsi="楷体_GB2312" w:eastAsia="仿宋_GB2312" w:cs="楷体_GB2312"/>
          <w:sz w:val="32"/>
          <w:szCs w:val="32"/>
        </w:rPr>
        <w:t>科学合理确定绿色制造示范目标（</w:t>
      </w:r>
      <w:r>
        <w:rPr>
          <w:rFonts w:hint="eastAsia" w:ascii="仿宋_GB2312" w:eastAsia="仿宋_GB2312"/>
          <w:sz w:val="32"/>
          <w:szCs w:val="32"/>
        </w:rPr>
        <w:t>包括企业重点指标和城市绿色发展综合指标），制定实施计划并提出完成指标所需的重点支撑项目，并在2016年5月  日前按照相关要求报送《XX市绿色制造示范工作方案》和绿色制造示范目标实施计划表（详见附件2）。</w:t>
      </w:r>
    </w:p>
    <w:p>
      <w:pPr>
        <w:ind w:firstLine="643" w:firstLineChars="200"/>
        <w:rPr>
          <w:rFonts w:ascii="仿宋_GB2312" w:eastAsia="仿宋_GB2312"/>
          <w:sz w:val="32"/>
          <w:szCs w:val="32"/>
        </w:rPr>
      </w:pPr>
      <w:r>
        <w:rPr>
          <w:rFonts w:hint="eastAsia" w:ascii="仿宋_GB2312" w:hAnsi="楷体_GB2312" w:eastAsia="仿宋_GB2312" w:cs="楷体_GB2312"/>
          <w:b/>
          <w:sz w:val="32"/>
          <w:szCs w:val="32"/>
        </w:rPr>
        <w:t>（三）公开竞争评审。</w:t>
      </w:r>
      <w:r>
        <w:rPr>
          <w:rFonts w:hint="eastAsia" w:ascii="仿宋_GB2312" w:eastAsia="仿宋_GB2312"/>
          <w:sz w:val="32"/>
          <w:szCs w:val="32"/>
        </w:rPr>
        <w:t>两部门对申报城市进行资格审核，对通过资格审核的城市，委托具有相应专业咨询资质的第三方机构，按照公平公正公开的原则对申报城市实施方案进行评审论证，核定绿色制造示范目标及对应的重点支撑项目。两部门根据评审论证意见，确定示范城市名单及示范目标、支撑项目等。</w:t>
      </w:r>
    </w:p>
    <w:p>
      <w:pPr>
        <w:ind w:firstLine="605" w:firstLineChars="189"/>
        <w:rPr>
          <w:rFonts w:ascii="黑体" w:hAnsi="黑体" w:eastAsia="黑体"/>
          <w:bCs/>
          <w:sz w:val="32"/>
          <w:szCs w:val="32"/>
        </w:rPr>
      </w:pPr>
      <w:r>
        <w:rPr>
          <w:rFonts w:hint="eastAsia" w:ascii="黑体" w:hAnsi="黑体" w:eastAsia="黑体"/>
          <w:bCs/>
          <w:sz w:val="32"/>
          <w:szCs w:val="32"/>
        </w:rPr>
        <w:t>三、实施方案编制</w:t>
      </w:r>
    </w:p>
    <w:p>
      <w:pPr>
        <w:ind w:firstLine="605" w:firstLineChars="189"/>
        <w:rPr>
          <w:rFonts w:ascii="黑体" w:hAnsi="黑体" w:eastAsia="黑体"/>
          <w:bCs/>
          <w:sz w:val="32"/>
          <w:szCs w:val="32"/>
        </w:rPr>
      </w:pPr>
      <w:r>
        <w:rPr>
          <w:rFonts w:hint="eastAsia" w:ascii="仿宋_GB2312" w:eastAsia="仿宋_GB2312"/>
          <w:sz w:val="32"/>
          <w:szCs w:val="32"/>
        </w:rPr>
        <w:t>申报城市工业和信息化主管部门会同财政部门，按照申报有关要求，组织编制《XX市绿色制造示范工作方案》。工作方案应包括以下主要内容：</w:t>
      </w:r>
    </w:p>
    <w:p>
      <w:pPr>
        <w:ind w:firstLine="607" w:firstLineChars="189"/>
        <w:outlineLvl w:val="0"/>
        <w:rPr>
          <w:rFonts w:hint="eastAsia" w:ascii="仿宋_GB2312" w:hAnsi="楷体" w:eastAsia="仿宋_GB2312" w:cs="楷体"/>
          <w:b/>
          <w:bCs/>
          <w:sz w:val="32"/>
        </w:rPr>
      </w:pPr>
      <w:r>
        <w:rPr>
          <w:rFonts w:ascii="仿宋_GB2312" w:hAnsi="楷体" w:eastAsia="仿宋_GB2312" w:cs="楷体"/>
          <w:b/>
          <w:bCs/>
          <w:sz w:val="32"/>
          <w:szCs w:val="32"/>
        </w:rPr>
        <w:t>（一）</w:t>
      </w:r>
      <w:r>
        <w:rPr>
          <w:rFonts w:ascii="仿宋_GB2312" w:hAnsi="楷体" w:eastAsia="仿宋_GB2312" w:cs="楷体"/>
          <w:b/>
          <w:bCs/>
          <w:sz w:val="32"/>
        </w:rPr>
        <w:t>基本情况</w:t>
      </w:r>
    </w:p>
    <w:p>
      <w:pPr>
        <w:ind w:firstLine="605" w:firstLineChars="189"/>
        <w:rPr>
          <w:rFonts w:ascii="仿宋_GB2312" w:eastAsia="仿宋_GB2312"/>
          <w:sz w:val="32"/>
          <w:szCs w:val="32"/>
        </w:rPr>
      </w:pPr>
      <w:r>
        <w:rPr>
          <w:rFonts w:hint="eastAsia" w:ascii="仿宋_GB2312" w:eastAsia="仿宋_GB2312"/>
          <w:sz w:val="32"/>
          <w:szCs w:val="32"/>
        </w:rPr>
        <w:t>申报城市制造业发展基本情况，包括总体规模、主导产业、发展水平，在全省乃至全国的地位；制造业资源消耗和污染物排放情况。目前推进制造业绿色发展所开展的主要工作、取得的成效，制造业绿色发展面临的主要问题。开展绿色制造示范对落实国家区域战略的推动作用和积极影响。</w:t>
      </w:r>
    </w:p>
    <w:p>
      <w:pPr>
        <w:ind w:firstLine="607" w:firstLineChars="189"/>
        <w:outlineLvl w:val="0"/>
        <w:rPr>
          <w:rFonts w:hint="eastAsia" w:ascii="仿宋_GB2312" w:hAnsi="楷体" w:eastAsia="仿宋_GB2312" w:cs="楷体"/>
          <w:b/>
          <w:bCs/>
          <w:sz w:val="32"/>
          <w:szCs w:val="32"/>
        </w:rPr>
      </w:pPr>
      <w:r>
        <w:rPr>
          <w:rFonts w:ascii="仿宋_GB2312" w:hAnsi="楷体" w:eastAsia="仿宋_GB2312" w:cs="楷体"/>
          <w:b/>
          <w:bCs/>
          <w:sz w:val="32"/>
          <w:szCs w:val="32"/>
        </w:rPr>
        <w:t>（二）总体思路和示范目标</w:t>
      </w:r>
    </w:p>
    <w:p>
      <w:pPr>
        <w:ind w:firstLine="605" w:firstLineChars="189"/>
        <w:rPr>
          <w:rFonts w:ascii="仿宋_GB2312" w:eastAsia="仿宋_GB2312"/>
          <w:sz w:val="32"/>
          <w:szCs w:val="32"/>
        </w:rPr>
      </w:pPr>
      <w:r>
        <w:rPr>
          <w:rFonts w:hint="eastAsia" w:ascii="仿宋_GB2312" w:eastAsia="仿宋_GB2312"/>
          <w:sz w:val="32"/>
          <w:szCs w:val="32"/>
        </w:rPr>
        <w:t>1.总体思路</w:t>
      </w:r>
    </w:p>
    <w:p>
      <w:pPr>
        <w:ind w:firstLine="640" w:firstLineChars="200"/>
        <w:rPr>
          <w:rFonts w:ascii="仿宋_GB2312" w:eastAsia="仿宋_GB2312"/>
          <w:sz w:val="32"/>
          <w:szCs w:val="32"/>
        </w:rPr>
      </w:pPr>
      <w:r>
        <w:rPr>
          <w:rFonts w:hint="eastAsia" w:ascii="仿宋_GB2312" w:eastAsia="仿宋_GB2312"/>
          <w:sz w:val="32"/>
          <w:szCs w:val="32"/>
        </w:rPr>
        <w:t>从污染物排放强度下降、能效水效及资源利用效率提升、绿色工艺技术及其装备应用等方面的目标出发，统筹解决重点行业重点企业绿色发展突出问题，以目标和问题为导向，根据年度重点支持行业并结合城市主导产业，提出</w:t>
      </w:r>
      <w:r>
        <w:rPr>
          <w:rFonts w:hint="eastAsia" w:ascii="Times New Roman" w:hAnsi="Times New Roman" w:eastAsia="仿宋_GB2312" w:cs="Times New Roman"/>
          <w:sz w:val="32"/>
          <w:szCs w:val="32"/>
        </w:rPr>
        <w:t>绿色制造示范工作的预期成效，包括企业形成绿色制造发展模式、城市构建绿色制造体系、优化绿色发展政策环境等。</w:t>
      </w:r>
    </w:p>
    <w:p>
      <w:pPr>
        <w:ind w:firstLine="605" w:firstLineChars="189"/>
        <w:rPr>
          <w:rFonts w:ascii="仿宋_GB2312" w:eastAsia="仿宋_GB2312"/>
          <w:sz w:val="32"/>
          <w:szCs w:val="32"/>
        </w:rPr>
      </w:pPr>
      <w:r>
        <w:rPr>
          <w:rFonts w:hint="eastAsia" w:ascii="仿宋_GB2312" w:eastAsia="仿宋_GB2312"/>
          <w:sz w:val="32"/>
          <w:szCs w:val="32"/>
        </w:rPr>
        <w:t>2.绿色制造示范目标</w:t>
      </w:r>
    </w:p>
    <w:p>
      <w:pPr>
        <w:ind w:firstLine="605" w:firstLineChars="189"/>
        <w:rPr>
          <w:rFonts w:ascii="Times New Roman" w:hAnsi="Times New Roman" w:eastAsia="仿宋_GB2312" w:cs="Times New Roman"/>
          <w:sz w:val="32"/>
          <w:szCs w:val="32"/>
        </w:rPr>
      </w:pPr>
      <w:r>
        <w:rPr>
          <w:rFonts w:hint="eastAsia" w:ascii="仿宋_GB2312" w:eastAsia="仿宋_GB2312"/>
          <w:sz w:val="32"/>
          <w:szCs w:val="32"/>
        </w:rPr>
        <w:t>申报城市应按照申报有关要求，制定示范期绿色制造示范目标（包括企业重点指标和城市绿色发展综合指标），制定年度实施计划并提出完成指标所需的重点支撑项目。企业重点指标包括行业重点评价指标和其他绿色制造相关指标，指标要可测算、可考核。行业重点评价指标应满足附件1中重点行业指标要求，突出行业和区域特点，能够切中关键问题，</w:t>
      </w:r>
      <w:r>
        <w:rPr>
          <w:rFonts w:hint="eastAsia" w:ascii="Times New Roman" w:hAnsi="Times New Roman" w:eastAsia="仿宋_GB2312" w:cs="Times New Roman"/>
          <w:sz w:val="32"/>
          <w:szCs w:val="32"/>
        </w:rPr>
        <w:t>可以取得明显效果。其他绿色制造相关指标，可根据企业自身情况和行业特点，按照推动企业绿色改造升级、资源能源高效循环利用、建立具有代表性的绿色发展典型等原则提出。</w:t>
      </w:r>
    </w:p>
    <w:p>
      <w:pPr>
        <w:ind w:firstLine="605" w:firstLineChars="189"/>
        <w:rPr>
          <w:rFonts w:ascii="仿宋_GB2312" w:eastAsia="仿宋_GB2312"/>
          <w:sz w:val="32"/>
          <w:szCs w:val="32"/>
        </w:rPr>
      </w:pPr>
      <w:r>
        <w:rPr>
          <w:rFonts w:hint="eastAsia" w:ascii="仿宋_GB2312" w:eastAsia="仿宋_GB2312"/>
          <w:sz w:val="32"/>
          <w:szCs w:val="32"/>
        </w:rPr>
        <w:t>城市绿色发展综合指标，由申报城市按照绿色制造水平提升、产业绿色转型升级等总体要求，通过深化体制机制改革、完善财税、金融、产业激励政策等提出。年度绿色制造示范目标主要是按照绿色制造示范目标年度实施计划，提出年度分解目标任务。</w:t>
      </w:r>
    </w:p>
    <w:p>
      <w:pPr>
        <w:ind w:firstLine="607" w:firstLineChars="189"/>
        <w:outlineLvl w:val="0"/>
        <w:rPr>
          <w:rFonts w:hint="eastAsia" w:ascii="仿宋_GB2312" w:hAnsi="楷体" w:eastAsia="仿宋_GB2312" w:cs="楷体"/>
          <w:b/>
          <w:bCs/>
          <w:sz w:val="32"/>
          <w:szCs w:val="32"/>
        </w:rPr>
      </w:pPr>
      <w:r>
        <w:rPr>
          <w:rFonts w:ascii="仿宋_GB2312" w:hAnsi="楷体" w:eastAsia="仿宋_GB2312" w:cs="楷体"/>
          <w:b/>
          <w:bCs/>
          <w:sz w:val="32"/>
          <w:szCs w:val="32"/>
        </w:rPr>
        <w:t>（三）重点支撑项目</w:t>
      </w:r>
    </w:p>
    <w:p>
      <w:pPr>
        <w:ind w:firstLine="605" w:firstLineChars="189"/>
        <w:rPr>
          <w:rFonts w:ascii="仿宋_GB2312" w:eastAsia="仿宋_GB2312"/>
          <w:sz w:val="32"/>
          <w:szCs w:val="32"/>
        </w:rPr>
      </w:pPr>
      <w:r>
        <w:rPr>
          <w:rFonts w:hint="eastAsia" w:ascii="仿宋_GB2312" w:eastAsia="仿宋_GB2312"/>
          <w:sz w:val="32"/>
          <w:szCs w:val="32"/>
        </w:rPr>
        <w:t>申报城市</w:t>
      </w:r>
      <w:r>
        <w:rPr>
          <w:rFonts w:hint="eastAsia" w:ascii="Times New Roman" w:hAnsi="Times New Roman" w:eastAsia="仿宋_GB2312" w:cs="Times New Roman"/>
          <w:sz w:val="32"/>
          <w:szCs w:val="32"/>
        </w:rPr>
        <w:t>围绕绿色制造示范目标，在</w:t>
      </w:r>
      <w:r>
        <w:rPr>
          <w:rFonts w:hint="eastAsia" w:ascii="仿宋_GB2312" w:eastAsia="仿宋_GB2312"/>
          <w:sz w:val="32"/>
          <w:szCs w:val="32"/>
        </w:rPr>
        <w:t>重点行业选择</w:t>
      </w:r>
      <w:r>
        <w:rPr>
          <w:rFonts w:hint="eastAsia" w:ascii="Times New Roman" w:hAnsi="Times New Roman" w:eastAsia="仿宋_GB2312" w:cs="Times New Roman"/>
          <w:sz w:val="32"/>
          <w:szCs w:val="32"/>
        </w:rPr>
        <w:t>一批重点制造企业，提出企业开展绿色制造示范的重点支撑项目，主要包括生产过程清洁化改造、能源利用高效低碳化改造、水资源利用高效化改造、工业资源综合利用改造、基础制造工艺绿色化改造、</w:t>
      </w:r>
      <w:r>
        <w:rPr>
          <w:rFonts w:hint="eastAsia" w:ascii="仿宋_GB2312" w:eastAsia="仿宋_GB2312"/>
          <w:sz w:val="32"/>
          <w:szCs w:val="32"/>
        </w:rPr>
        <w:t>产业绿色协同链接等方面。</w:t>
      </w:r>
    </w:p>
    <w:p>
      <w:pPr>
        <w:ind w:firstLine="605" w:firstLineChars="189"/>
        <w:rPr>
          <w:rFonts w:ascii="仿宋_GB2312" w:eastAsia="仿宋_GB2312"/>
          <w:sz w:val="32"/>
          <w:szCs w:val="32"/>
        </w:rPr>
      </w:pPr>
      <w:r>
        <w:rPr>
          <w:rFonts w:hint="eastAsia" w:ascii="Times New Roman" w:hAnsi="Times New Roman" w:eastAsia="仿宋_GB2312" w:cs="Times New Roman"/>
          <w:sz w:val="32"/>
          <w:szCs w:val="32"/>
        </w:rPr>
        <w:t>重点企业的选择要考虑</w:t>
      </w:r>
      <w:r>
        <w:rPr>
          <w:rFonts w:hint="eastAsia" w:ascii="仿宋_GB2312" w:eastAsia="仿宋_GB2312"/>
          <w:sz w:val="32"/>
          <w:szCs w:val="32"/>
        </w:rPr>
        <w:t>生产特点、技术水平，在行业中的地位，以及区域</w:t>
      </w:r>
      <w:r>
        <w:rPr>
          <w:rFonts w:hint="eastAsia" w:ascii="Times New Roman" w:hAnsi="Times New Roman" w:eastAsia="仿宋_GB2312" w:cs="Times New Roman"/>
          <w:sz w:val="32"/>
          <w:szCs w:val="32"/>
        </w:rPr>
        <w:t>集聚示范带动作用。</w:t>
      </w:r>
      <w:r>
        <w:rPr>
          <w:rFonts w:hint="eastAsia" w:ascii="仿宋_GB2312" w:eastAsia="仿宋_GB2312"/>
          <w:sz w:val="32"/>
          <w:szCs w:val="32"/>
        </w:rPr>
        <w:t>重点支撑项目，要说明主要建设内容、工艺技术、建设地点、实施期限、建设条件落实等情况。详细列明项目总投资、投资构成及资金来源，保证所列项目整体（含子项）未得到中央财政资金支持（已申报其他渠道中央财政资金支持的项目不得重复申报）。测算项目实施的预期效果，要保证绿色制造示范目标实施后能够达到资金奖励要求。项目应符合国家产业政策，项目前期工作符合国家有关规定，实施后原则上不新增产能，应为2015年（含）以后开工的项目（以核准或备案时间为准）。</w:t>
      </w:r>
    </w:p>
    <w:p>
      <w:pPr>
        <w:ind w:firstLine="607" w:firstLineChars="189"/>
        <w:outlineLvl w:val="0"/>
        <w:rPr>
          <w:rFonts w:hint="eastAsia" w:ascii="仿宋_GB2312" w:hAnsi="楷体" w:eastAsia="仿宋_GB2312" w:cs="楷体"/>
          <w:b/>
          <w:bCs/>
          <w:sz w:val="32"/>
          <w:szCs w:val="32"/>
        </w:rPr>
      </w:pPr>
      <w:r>
        <w:rPr>
          <w:rFonts w:ascii="仿宋_GB2312" w:hAnsi="楷体" w:eastAsia="仿宋_GB2312" w:cs="楷体"/>
          <w:b/>
          <w:bCs/>
          <w:sz w:val="32"/>
          <w:szCs w:val="32"/>
        </w:rPr>
        <w:t>（四）保障措施</w:t>
      </w:r>
    </w:p>
    <w:p>
      <w:pPr>
        <w:ind w:firstLine="605" w:firstLineChars="189"/>
        <w:jc w:val="left"/>
        <w:rPr>
          <w:rFonts w:ascii="仿宋_GB2312" w:eastAsia="仿宋_GB2312"/>
          <w:sz w:val="32"/>
          <w:szCs w:val="32"/>
        </w:rPr>
      </w:pPr>
      <w:r>
        <w:rPr>
          <w:rFonts w:hint="eastAsia" w:ascii="仿宋_GB2312" w:eastAsia="仿宋_GB2312"/>
          <w:sz w:val="32"/>
          <w:szCs w:val="32"/>
        </w:rPr>
        <w:t>为推动绿色制造示范相关工作的制度化、动态化，申报城市要积极创新政策机制，创造有利于绿色发展的政策环境，探索形成推动城市绿色发展的管理模式，提出加快产业结构调整、构建技术创新体系、推广先进适用技术、提高公共服务能力、加强基础能力建设等方面的主要任务和配套措施。</w:t>
      </w:r>
    </w:p>
    <w:p>
      <w:pPr>
        <w:ind w:firstLine="605" w:firstLineChars="189"/>
        <w:jc w:val="left"/>
        <w:rPr>
          <w:rFonts w:ascii="黑体" w:hAnsi="黑体" w:eastAsia="黑体"/>
          <w:bCs/>
          <w:sz w:val="32"/>
          <w:szCs w:val="32"/>
        </w:rPr>
      </w:pPr>
      <w:r>
        <w:rPr>
          <w:rFonts w:hint="eastAsia" w:ascii="黑体" w:hAnsi="黑体" w:eastAsia="黑体"/>
          <w:bCs/>
          <w:sz w:val="32"/>
          <w:szCs w:val="32"/>
        </w:rPr>
        <w:t>四、申请列入重点支撑项目的要求</w:t>
      </w:r>
    </w:p>
    <w:p>
      <w:pPr>
        <w:ind w:firstLine="605" w:firstLineChars="189"/>
        <w:rPr>
          <w:rFonts w:ascii="仿宋_GB2312" w:eastAsia="仿宋_GB2312"/>
          <w:sz w:val="32"/>
          <w:szCs w:val="32"/>
        </w:rPr>
      </w:pPr>
      <w:r>
        <w:rPr>
          <w:rFonts w:hint="eastAsia" w:ascii="仿宋_GB2312" w:eastAsia="仿宋_GB2312"/>
          <w:sz w:val="32"/>
          <w:szCs w:val="32"/>
        </w:rPr>
        <w:t>符合条件的企业向申报城市工业和信息化主管部门、财政部门，提交重点支撑项目的资金申请文件，主要包括申请奖励资金基本情况说明、申报条件审查意见、所需资金核定情况、项目真实性及项目整体（含子项）未得到中央财政资金支持的承诺说明等。具体包括：</w:t>
      </w:r>
    </w:p>
    <w:p>
      <w:pPr>
        <w:ind w:firstLine="607" w:firstLineChars="189"/>
        <w:rPr>
          <w:rFonts w:ascii="仿宋_GB2312" w:eastAsia="仿宋_GB2312"/>
          <w:b/>
          <w:sz w:val="32"/>
          <w:szCs w:val="32"/>
        </w:rPr>
      </w:pPr>
      <w:r>
        <w:rPr>
          <w:rFonts w:hint="eastAsia" w:ascii="仿宋_GB2312" w:eastAsia="仿宋_GB2312"/>
          <w:b/>
          <w:sz w:val="32"/>
          <w:szCs w:val="32"/>
        </w:rPr>
        <w:t>（一）企业基本情况</w:t>
      </w:r>
    </w:p>
    <w:p>
      <w:pPr>
        <w:ind w:firstLine="605" w:firstLineChars="189"/>
        <w:rPr>
          <w:rFonts w:ascii="仿宋_GB2312" w:eastAsia="仿宋_GB2312"/>
          <w:sz w:val="32"/>
          <w:szCs w:val="32"/>
        </w:rPr>
      </w:pPr>
      <w:r>
        <w:rPr>
          <w:rFonts w:hint="eastAsia" w:ascii="仿宋_GB2312" w:eastAsia="仿宋_GB2312"/>
          <w:sz w:val="32"/>
          <w:szCs w:val="32"/>
        </w:rPr>
        <w:t>包括所有制性质、主营业务、近三年来的销售收入、利润、资产负债率、项目法人等基本情况。</w:t>
      </w:r>
    </w:p>
    <w:p>
      <w:pPr>
        <w:ind w:firstLine="607" w:firstLineChars="189"/>
        <w:rPr>
          <w:rFonts w:ascii="仿宋_GB2312" w:eastAsia="仿宋_GB2312"/>
          <w:b/>
          <w:sz w:val="32"/>
          <w:szCs w:val="32"/>
        </w:rPr>
      </w:pPr>
      <w:r>
        <w:rPr>
          <w:rFonts w:hint="eastAsia" w:ascii="仿宋_GB2312" w:eastAsia="仿宋_GB2312"/>
          <w:b/>
          <w:sz w:val="32"/>
          <w:szCs w:val="32"/>
        </w:rPr>
        <w:t>（二）指标设立情况</w:t>
      </w:r>
    </w:p>
    <w:p>
      <w:pPr>
        <w:ind w:firstLine="605" w:firstLineChars="189"/>
        <w:rPr>
          <w:rFonts w:ascii="仿宋_GB2312" w:eastAsia="仿宋_GB2312"/>
          <w:sz w:val="32"/>
          <w:szCs w:val="32"/>
        </w:rPr>
      </w:pPr>
      <w:r>
        <w:rPr>
          <w:rFonts w:hint="eastAsia" w:ascii="仿宋_GB2312" w:eastAsia="仿宋_GB2312"/>
          <w:sz w:val="32"/>
          <w:szCs w:val="32"/>
        </w:rPr>
        <w:t>包括资源能源消耗量、污染物排放量、绿色化智能化水平等与可持续发展有重要关系的指标。</w:t>
      </w:r>
    </w:p>
    <w:p>
      <w:pPr>
        <w:ind w:firstLine="607" w:firstLineChars="189"/>
        <w:rPr>
          <w:rFonts w:ascii="仿宋_GB2312" w:eastAsia="仿宋_GB2312"/>
          <w:b/>
          <w:sz w:val="32"/>
          <w:szCs w:val="32"/>
        </w:rPr>
      </w:pPr>
      <w:r>
        <w:rPr>
          <w:rFonts w:hint="eastAsia" w:ascii="仿宋_GB2312" w:eastAsia="仿宋_GB2312"/>
          <w:b/>
          <w:sz w:val="32"/>
          <w:szCs w:val="32"/>
        </w:rPr>
        <w:t>（三）项目建设内容</w:t>
      </w:r>
    </w:p>
    <w:p>
      <w:pPr>
        <w:ind w:firstLine="605" w:firstLineChars="189"/>
        <w:rPr>
          <w:rFonts w:ascii="仿宋_GB2312" w:eastAsia="仿宋_GB2312"/>
          <w:sz w:val="32"/>
          <w:szCs w:val="32"/>
        </w:rPr>
      </w:pPr>
      <w:r>
        <w:rPr>
          <w:rFonts w:hint="eastAsia" w:ascii="仿宋_GB2312" w:eastAsia="仿宋_GB2312"/>
          <w:sz w:val="32"/>
          <w:szCs w:val="32"/>
        </w:rPr>
        <w:t>包括项目主要建设内容、采用的技术工艺和装备、技术来源及先进性评价、项目总投资、建设周期及竣工稳定运行等情况。</w:t>
      </w:r>
    </w:p>
    <w:p>
      <w:pPr>
        <w:ind w:firstLine="607" w:firstLineChars="189"/>
        <w:rPr>
          <w:rFonts w:ascii="仿宋_GB2312" w:eastAsia="仿宋_GB2312"/>
          <w:b/>
          <w:sz w:val="32"/>
          <w:szCs w:val="32"/>
        </w:rPr>
      </w:pPr>
      <w:r>
        <w:rPr>
          <w:rFonts w:hint="eastAsia" w:ascii="仿宋_GB2312" w:eastAsia="仿宋_GB2312"/>
          <w:b/>
          <w:sz w:val="32"/>
          <w:szCs w:val="32"/>
        </w:rPr>
        <w:t>（四）实施效果分析</w:t>
      </w:r>
    </w:p>
    <w:p>
      <w:pPr>
        <w:ind w:firstLine="605" w:firstLineChars="189"/>
        <w:rPr>
          <w:rFonts w:ascii="仿宋_GB2312" w:eastAsia="仿宋_GB2312"/>
          <w:sz w:val="32"/>
          <w:szCs w:val="32"/>
        </w:rPr>
      </w:pPr>
      <w:r>
        <w:rPr>
          <w:rFonts w:hint="eastAsia" w:ascii="仿宋_GB2312" w:eastAsia="仿宋_GB2312"/>
          <w:sz w:val="32"/>
          <w:szCs w:val="32"/>
        </w:rPr>
        <w:t>重点分析项目采用的生产技术工艺和装备特点、解决的主要问题，提供必要的关键工艺环节能耗、物耗、污染物排放等指标参数，结合相关检测和监测报告，对项目的环境和经济效益进行综合评价。</w:t>
      </w:r>
    </w:p>
    <w:p>
      <w:pPr>
        <w:ind w:firstLine="607" w:firstLineChars="189"/>
        <w:rPr>
          <w:rFonts w:ascii="仿宋_GB2312" w:eastAsia="仿宋_GB2312"/>
          <w:b/>
          <w:sz w:val="32"/>
          <w:szCs w:val="32"/>
        </w:rPr>
      </w:pPr>
      <w:r>
        <w:rPr>
          <w:rFonts w:hint="eastAsia" w:ascii="仿宋_GB2312" w:eastAsia="仿宋_GB2312"/>
          <w:b/>
          <w:sz w:val="32"/>
          <w:szCs w:val="32"/>
        </w:rPr>
        <w:t>（五）其他有关附件要求（复印件）</w:t>
      </w:r>
    </w:p>
    <w:p>
      <w:pPr>
        <w:ind w:firstLine="605" w:firstLineChars="189"/>
        <w:rPr>
          <w:rFonts w:ascii="仿宋_GB2312" w:eastAsia="仿宋_GB2312"/>
          <w:sz w:val="32"/>
          <w:szCs w:val="32"/>
        </w:rPr>
      </w:pPr>
      <w:r>
        <w:rPr>
          <w:rFonts w:hint="eastAsia" w:ascii="仿宋_GB2312" w:eastAsia="仿宋_GB2312"/>
          <w:sz w:val="32"/>
          <w:szCs w:val="32"/>
        </w:rPr>
        <w:t>1.企业营业执照副本，项目核准或备案文件。</w:t>
      </w:r>
    </w:p>
    <w:p>
      <w:pPr>
        <w:ind w:firstLine="605" w:firstLineChars="189"/>
        <w:rPr>
          <w:rFonts w:ascii="仿宋_GB2312" w:eastAsia="仿宋_GB2312"/>
          <w:sz w:val="32"/>
          <w:szCs w:val="32"/>
        </w:rPr>
      </w:pPr>
      <w:r>
        <w:rPr>
          <w:rFonts w:hint="eastAsia" w:ascii="仿宋_GB2312" w:eastAsia="仿宋_GB2312"/>
          <w:sz w:val="32"/>
          <w:szCs w:val="32"/>
        </w:rPr>
        <w:t>2.规划部门出具的意见。</w:t>
      </w:r>
    </w:p>
    <w:p>
      <w:pPr>
        <w:ind w:firstLine="605" w:firstLineChars="189"/>
        <w:rPr>
          <w:rFonts w:ascii="仿宋_GB2312" w:eastAsia="仿宋_GB2312"/>
          <w:sz w:val="32"/>
          <w:szCs w:val="32"/>
        </w:rPr>
      </w:pPr>
      <w:r>
        <w:rPr>
          <w:rFonts w:hint="eastAsia" w:ascii="仿宋_GB2312" w:eastAsia="仿宋_GB2312"/>
          <w:sz w:val="32"/>
          <w:szCs w:val="32"/>
        </w:rPr>
        <w:t>3.国土资源部门出具的项目用地审查意见（有新增土地的项目）。</w:t>
      </w:r>
    </w:p>
    <w:p>
      <w:pPr>
        <w:ind w:firstLine="605" w:firstLineChars="189"/>
        <w:rPr>
          <w:rFonts w:ascii="仿宋_GB2312" w:eastAsia="仿宋_GB2312"/>
          <w:sz w:val="32"/>
          <w:szCs w:val="32"/>
        </w:rPr>
      </w:pPr>
      <w:r>
        <w:rPr>
          <w:rFonts w:hint="eastAsia" w:ascii="仿宋_GB2312" w:eastAsia="仿宋_GB2312"/>
          <w:sz w:val="32"/>
          <w:szCs w:val="32"/>
        </w:rPr>
        <w:t>4.环保部门出具的环境影响评价文件的审批意见。</w:t>
      </w:r>
    </w:p>
    <w:p>
      <w:pPr>
        <w:ind w:firstLine="605" w:firstLineChars="189"/>
        <w:rPr>
          <w:rFonts w:ascii="仿宋_GB2312" w:eastAsia="仿宋_GB2312"/>
          <w:sz w:val="32"/>
          <w:szCs w:val="32"/>
        </w:rPr>
      </w:pPr>
      <w:r>
        <w:rPr>
          <w:rFonts w:hint="eastAsia" w:ascii="仿宋_GB2312" w:eastAsia="仿宋_GB2312"/>
          <w:sz w:val="32"/>
          <w:szCs w:val="32"/>
        </w:rPr>
        <w:t>5.项目实际投资证明材料（具有相应资质的社会中介机构提供的项目财务决算审计报告）。</w:t>
      </w:r>
    </w:p>
    <w:p>
      <w:pPr>
        <w:ind w:firstLine="605" w:firstLineChars="189"/>
        <w:jc w:val="left"/>
        <w:rPr>
          <w:rFonts w:ascii="仿宋_GB2312" w:eastAsia="仿宋_GB2312"/>
          <w:sz w:val="32"/>
          <w:szCs w:val="32"/>
        </w:rPr>
      </w:pPr>
      <w:r>
        <w:rPr>
          <w:rFonts w:hint="eastAsia" w:ascii="仿宋_GB2312" w:eastAsia="仿宋_GB2312"/>
          <w:sz w:val="32"/>
          <w:szCs w:val="32"/>
        </w:rPr>
        <w:t>6.企业对项目材料真实性、合法性的承诺及对项目申请其他中央财政资金情况的说明。</w:t>
      </w:r>
    </w:p>
    <w:p>
      <w:pPr>
        <w:ind w:firstLine="605" w:firstLineChars="189"/>
        <w:rPr>
          <w:rFonts w:ascii="黑体" w:hAnsi="黑体" w:eastAsia="黑体"/>
          <w:sz w:val="32"/>
          <w:szCs w:val="32"/>
        </w:rPr>
      </w:pPr>
      <w:r>
        <w:rPr>
          <w:rFonts w:hint="eastAsia" w:ascii="黑体" w:hAnsi="黑体" w:eastAsia="黑体"/>
          <w:sz w:val="32"/>
          <w:szCs w:val="32"/>
        </w:rPr>
        <w:t>五、其他说明事项</w:t>
      </w:r>
    </w:p>
    <w:p>
      <w:pPr>
        <w:ind w:firstLine="605" w:firstLineChars="189"/>
        <w:rPr>
          <w:rFonts w:ascii="仿宋_GB2312" w:eastAsia="仿宋_GB2312"/>
          <w:sz w:val="32"/>
          <w:szCs w:val="32"/>
        </w:rPr>
      </w:pPr>
      <w:r>
        <w:rPr>
          <w:rFonts w:hint="eastAsia" w:ascii="仿宋_GB2312" w:eastAsia="仿宋_GB2312"/>
          <w:sz w:val="32"/>
          <w:szCs w:val="32"/>
        </w:rPr>
        <w:t>省级工业和信息化主管部门、财政部门要高度重视此项工作，积极组织有关城市做好申报工作。对纳入示范工作的城市，要加强预算绩效管理，在申报时明确绩效目标，填写绩效目标申报表（具体格式可参考《财政部关于印发〈中央对地方专项转移支付绩效目标管理暂行办法〉的通知》（财预〔2015〕163号）有关附件），随申报文件一并报送；预算执行中，应对资金运行状况和绩效目标实现程度开展绩效监控，确保示范工作取得成效；预算执行结束后，应对照确定的绩效目标开展绩效自评，形成相应的自评结果。</w:t>
      </w:r>
    </w:p>
    <w:p>
      <w:pPr>
        <w:widowControl/>
        <w:jc w:val="left"/>
        <w:rPr>
          <w:rFonts w:hint="eastAsia" w:ascii="仿宋_GB2312" w:eastAsia="仿宋_GB2312"/>
          <w:sz w:val="32"/>
          <w:szCs w:val="30"/>
        </w:rPr>
      </w:pPr>
    </w:p>
    <w:p>
      <w:pPr>
        <w:widowControl/>
        <w:jc w:val="left"/>
        <w:rPr>
          <w:rFonts w:hint="eastAsia" w:ascii="仿宋_GB2312" w:eastAsia="仿宋_GB2312"/>
          <w:sz w:val="32"/>
          <w:szCs w:val="30"/>
        </w:rPr>
      </w:pPr>
    </w:p>
    <w:p>
      <w:pPr>
        <w:widowControl/>
        <w:jc w:val="left"/>
        <w:rPr>
          <w:rFonts w:hint="eastAsia" w:ascii="仿宋_GB2312" w:eastAsia="仿宋_GB2312"/>
          <w:sz w:val="32"/>
          <w:szCs w:val="30"/>
        </w:rPr>
      </w:pPr>
    </w:p>
    <w:p>
      <w:pPr>
        <w:widowControl/>
        <w:jc w:val="left"/>
        <w:rPr>
          <w:rFonts w:hint="eastAsia" w:ascii="仿宋_GB2312" w:eastAsia="仿宋_GB2312"/>
          <w:sz w:val="32"/>
          <w:szCs w:val="30"/>
        </w:rPr>
      </w:pPr>
    </w:p>
    <w:p>
      <w:pPr>
        <w:widowControl/>
        <w:jc w:val="left"/>
        <w:rPr>
          <w:rFonts w:ascii="仿宋_GB2312" w:eastAsia="仿宋_GB2312"/>
          <w:sz w:val="32"/>
          <w:szCs w:val="30"/>
        </w:rPr>
      </w:pPr>
      <w:r>
        <w:rPr>
          <w:rFonts w:hint="eastAsia" w:ascii="仿宋_GB2312" w:eastAsia="仿宋_GB2312"/>
          <w:sz w:val="32"/>
          <w:szCs w:val="30"/>
        </w:rPr>
        <w:t>附件1</w:t>
      </w:r>
    </w:p>
    <w:p>
      <w:pPr>
        <w:widowControl/>
        <w:jc w:val="center"/>
        <w:rPr>
          <w:rFonts w:ascii="方正小标宋简体" w:hAnsi="方正小标宋简体" w:eastAsia="方正小标宋简体" w:cs="方正小标宋简体"/>
          <w:bCs/>
          <w:sz w:val="32"/>
          <w:szCs w:val="32"/>
        </w:rPr>
      </w:pPr>
    </w:p>
    <w:p>
      <w:pPr>
        <w:widowControl/>
        <w:jc w:val="center"/>
        <w:rPr>
          <w:rFonts w:ascii="黑体" w:hAnsi="黑体" w:eastAsia="黑体" w:cs="方正小标宋简体"/>
          <w:bCs/>
          <w:sz w:val="32"/>
          <w:szCs w:val="32"/>
        </w:rPr>
      </w:pPr>
      <w:r>
        <w:rPr>
          <w:rFonts w:hint="eastAsia" w:ascii="黑体" w:hAnsi="黑体" w:eastAsia="黑体" w:cs="方正小标宋简体"/>
          <w:bCs/>
          <w:sz w:val="32"/>
          <w:szCs w:val="32"/>
        </w:rPr>
        <w:t>2016年绿色制造示范工作重点行业指标要求</w:t>
      </w:r>
    </w:p>
    <w:p>
      <w:pPr>
        <w:widowControl/>
        <w:jc w:val="center"/>
        <w:rPr>
          <w:rFonts w:ascii="方正小标宋简体" w:hAnsi="方正小标宋简体" w:eastAsia="方正小标宋简体" w:cs="方正小标宋简体"/>
          <w:bCs/>
          <w:sz w:val="32"/>
          <w:szCs w:val="32"/>
        </w:rPr>
      </w:pPr>
    </w:p>
    <w:p>
      <w:pPr>
        <w:ind w:firstLine="605" w:firstLineChars="189"/>
        <w:rPr>
          <w:rFonts w:ascii="黑体" w:hAnsi="黑体" w:eastAsia="黑体"/>
          <w:sz w:val="32"/>
          <w:szCs w:val="32"/>
        </w:rPr>
      </w:pPr>
      <w:r>
        <w:rPr>
          <w:rFonts w:hint="eastAsia" w:ascii="黑体" w:hAnsi="黑体" w:eastAsia="黑体"/>
          <w:sz w:val="32"/>
          <w:szCs w:val="32"/>
        </w:rPr>
        <w:t>一、电子信息行业</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针对电子信息产品制造业、电子元器件及材料行业，分别要求为：</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电子信息产品制造业。产品能效应达到强制性产品能效标准1级能效或节能评价值要求，符合电器电子产品有害物质限制使用管理办法的规定，铅、汞、六价铬、多溴联苯和多溴二苯醚含量不超过0.1%，镉含量不超过0.01%。</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（二）电子元器件及材料行业。单位产品综合能耗，污染物治理达到行业先进水平，符合相关标准要求，印制电路板行业达到有关清洁生产标准先进水平要求，铜回收率达到95%，水重复利用率达到55%。</w:t>
      </w:r>
    </w:p>
    <w:p>
      <w:pPr>
        <w:ind w:firstLine="605" w:firstLineChars="189"/>
        <w:rPr>
          <w:rFonts w:ascii="黑体" w:hAnsi="黑体" w:eastAsia="黑体"/>
          <w:sz w:val="32"/>
          <w:szCs w:val="32"/>
        </w:rPr>
      </w:pPr>
      <w:r>
        <w:rPr>
          <w:rFonts w:hint="eastAsia" w:ascii="黑体" w:hAnsi="黑体" w:eastAsia="黑体"/>
          <w:sz w:val="32"/>
          <w:szCs w:val="32"/>
        </w:rPr>
        <w:t>二、煤化工行业</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针对新型煤化工行业和传统煤化工（氮肥行业），分别要求为：</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（一）新型煤化工。煤间接液化制油</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产品</w:t>
      </w:r>
      <w:r>
        <w:rPr>
          <w:rFonts w:hint="eastAsia" w:ascii="仿宋_GB2312" w:hAnsi="Times New Roman" w:eastAsia="仿宋_GB2312" w:cs="Times New Roman"/>
          <w:sz w:val="32"/>
          <w:szCs w:val="32"/>
          <w:lang w:eastAsia="zh-CN"/>
        </w:rPr>
        <w:t>综合能耗</w:t>
      </w:r>
      <w:r>
        <w:rPr>
          <w:rFonts w:hint="eastAsia" w:ascii="仿宋_GB2312" w:hAnsi="Times New Roman" w:eastAsia="仿宋_GB2312" w:cs="Times New Roman"/>
          <w:sz w:val="32"/>
          <w:szCs w:val="32"/>
        </w:rPr>
        <w:t>低于</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吨</w:t>
      </w:r>
      <w:r>
        <w:rPr>
          <w:rFonts w:hint="eastAsia" w:ascii="仿宋_GB2312" w:hAnsi="Times New Roman" w:eastAsia="仿宋_GB2312" w:cs="Times New Roman"/>
          <w:sz w:val="32"/>
          <w:szCs w:val="32"/>
          <w:lang w:eastAsia="zh-CN"/>
        </w:rPr>
        <w:t>标准煤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水耗</w:t>
      </w:r>
      <w:r>
        <w:rPr>
          <w:rFonts w:hint="eastAsia" w:ascii="仿宋_GB2312" w:hAnsi="Times New Roman" w:eastAsia="仿宋_GB2312" w:cs="Times New Roman"/>
          <w:sz w:val="32"/>
          <w:szCs w:val="32"/>
        </w:rPr>
        <w:t>低于</w:t>
      </w:r>
      <w:r>
        <w:rPr>
          <w:rFonts w:hint="eastAsia" w:ascii="仿宋_GB2312" w:hAnsi="Times New Roman" w:eastAsia="仿宋_GB2312" w:cs="Times New Roman"/>
          <w:sz w:val="32"/>
          <w:szCs w:val="32"/>
          <w:lang w:val="en-US" w:eastAsia="zh-CN"/>
        </w:rPr>
        <w:t>6吨</w:t>
      </w:r>
      <w:r>
        <w:rPr>
          <w:rFonts w:hint="eastAsia" w:ascii="仿宋_GB2312" w:hAnsi="Times New Roman" w:eastAsia="仿宋_GB2312" w:cs="Times New Roman"/>
          <w:sz w:val="32"/>
          <w:szCs w:val="32"/>
        </w:rPr>
        <w:t>，煤制天然气每千标方</w:t>
      </w:r>
      <w:r>
        <w:rPr>
          <w:rFonts w:hint="eastAsia" w:ascii="仿宋_GB2312" w:hAnsi="Times New Roman" w:eastAsia="仿宋_GB2312" w:cs="Times New Roman"/>
          <w:sz w:val="32"/>
          <w:szCs w:val="32"/>
          <w:lang w:eastAsia="zh-CN"/>
        </w:rPr>
        <w:t>产品综合能耗</w:t>
      </w:r>
      <w:r>
        <w:rPr>
          <w:rFonts w:hint="eastAsia" w:ascii="仿宋_GB2312" w:hAnsi="Times New Roman" w:eastAsia="仿宋_GB2312" w:cs="Times New Roman"/>
          <w:sz w:val="32"/>
          <w:szCs w:val="32"/>
        </w:rPr>
        <w:t>低于</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rPr>
        <w:t>吨</w:t>
      </w:r>
      <w:r>
        <w:rPr>
          <w:rFonts w:hint="eastAsia" w:ascii="仿宋_GB2312" w:hAnsi="Times New Roman" w:eastAsia="仿宋_GB2312" w:cs="Times New Roman"/>
          <w:sz w:val="32"/>
          <w:szCs w:val="32"/>
          <w:lang w:eastAsia="zh-CN"/>
        </w:rPr>
        <w:t>标准煤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水耗</w:t>
      </w:r>
      <w:r>
        <w:rPr>
          <w:rFonts w:hint="eastAsia" w:ascii="仿宋_GB2312" w:hAnsi="Times New Roman" w:eastAsia="仿宋_GB2312" w:cs="Times New Roman"/>
          <w:sz w:val="32"/>
          <w:szCs w:val="32"/>
        </w:rPr>
        <w:t>低于5</w:t>
      </w:r>
      <w:r>
        <w:rPr>
          <w:rFonts w:hint="eastAsia" w:ascii="仿宋_GB2312" w:hAnsi="Times New Roman" w:eastAsia="仿宋_GB2312" w:cs="Times New Roman"/>
          <w:sz w:val="32"/>
          <w:szCs w:val="32"/>
          <w:lang w:eastAsia="zh-CN"/>
        </w:rPr>
        <w:t>吨</w:t>
      </w:r>
      <w:r>
        <w:rPr>
          <w:rFonts w:hint="eastAsia" w:ascii="仿宋_GB2312" w:hAnsi="Times New Roman" w:eastAsia="仿宋_GB2312" w:cs="Times New Roman"/>
          <w:sz w:val="32"/>
          <w:szCs w:val="32"/>
        </w:rPr>
        <w:t>，煤制乙二醇</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产品</w:t>
      </w:r>
      <w:r>
        <w:rPr>
          <w:rFonts w:hint="eastAsia" w:ascii="仿宋_GB2312" w:hAnsi="Times New Roman" w:eastAsia="仿宋_GB2312" w:cs="Times New Roman"/>
          <w:sz w:val="32"/>
          <w:szCs w:val="32"/>
          <w:lang w:eastAsia="zh-CN"/>
        </w:rPr>
        <w:t>综合能耗</w:t>
      </w:r>
      <w:r>
        <w:rPr>
          <w:rFonts w:hint="eastAsia" w:ascii="仿宋_GB2312" w:hAnsi="Times New Roman" w:eastAsia="仿宋_GB2312" w:cs="Times New Roman"/>
          <w:sz w:val="32"/>
          <w:szCs w:val="32"/>
        </w:rPr>
        <w:t>低于</w:t>
      </w:r>
      <w:r>
        <w:rPr>
          <w:rFonts w:hint="eastAsia" w:ascii="仿宋_GB2312" w:hAnsi="Times New Roman" w:eastAsia="仿宋_GB2312" w:cs="Times New Roman"/>
          <w:sz w:val="32"/>
          <w:szCs w:val="32"/>
          <w:lang w:val="en-US" w:eastAsia="zh-CN"/>
        </w:rPr>
        <w:t>1.7</w:t>
      </w:r>
      <w:r>
        <w:rPr>
          <w:rFonts w:hint="eastAsia" w:ascii="仿宋_GB2312" w:hAnsi="Times New Roman" w:eastAsia="仿宋_GB2312" w:cs="Times New Roman"/>
          <w:sz w:val="32"/>
          <w:szCs w:val="32"/>
        </w:rPr>
        <w:t>吨</w:t>
      </w:r>
      <w:r>
        <w:rPr>
          <w:rFonts w:hint="eastAsia" w:ascii="仿宋_GB2312" w:hAnsi="Times New Roman" w:eastAsia="仿宋_GB2312" w:cs="Times New Roman"/>
          <w:sz w:val="32"/>
          <w:szCs w:val="32"/>
          <w:lang w:eastAsia="zh-CN"/>
        </w:rPr>
        <w:t>标准煤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水耗</w:t>
      </w:r>
      <w:r>
        <w:rPr>
          <w:rFonts w:hint="eastAsia" w:ascii="仿宋_GB2312" w:hAnsi="Times New Roman" w:eastAsia="仿宋_GB2312" w:cs="Times New Roman"/>
          <w:sz w:val="32"/>
          <w:szCs w:val="32"/>
        </w:rPr>
        <w:t>低于8.4</w:t>
      </w:r>
      <w:r>
        <w:rPr>
          <w:rFonts w:hint="eastAsia" w:ascii="仿宋_GB2312" w:hAnsi="Times New Roman" w:eastAsia="仿宋_GB2312" w:cs="Times New Roman"/>
          <w:sz w:val="32"/>
          <w:szCs w:val="32"/>
          <w:lang w:eastAsia="zh-CN"/>
        </w:rPr>
        <w:t>吨</w:t>
      </w:r>
      <w:r>
        <w:rPr>
          <w:rFonts w:hint="eastAsia" w:ascii="仿宋_GB2312" w:hAnsi="Times New Roman" w:eastAsia="仿宋_GB2312" w:cs="Times New Roman"/>
          <w:sz w:val="32"/>
          <w:szCs w:val="32"/>
        </w:rPr>
        <w:t>，煤制烯烃</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产品</w:t>
      </w:r>
      <w:r>
        <w:rPr>
          <w:rFonts w:hint="eastAsia" w:ascii="仿宋_GB2312" w:hAnsi="Times New Roman" w:eastAsia="仿宋_GB2312" w:cs="Times New Roman"/>
          <w:sz w:val="32"/>
          <w:szCs w:val="32"/>
          <w:lang w:eastAsia="zh-CN"/>
        </w:rPr>
        <w:t>综合能耗</w:t>
      </w:r>
      <w:r>
        <w:rPr>
          <w:rFonts w:hint="eastAsia" w:ascii="仿宋_GB2312" w:hAnsi="Times New Roman" w:eastAsia="仿宋_GB2312" w:cs="Times New Roman"/>
          <w:sz w:val="32"/>
          <w:szCs w:val="32"/>
        </w:rPr>
        <w:t>低于2.5吨、</w:t>
      </w:r>
      <w:r>
        <w:rPr>
          <w:rFonts w:hint="eastAsia" w:ascii="仿宋_GB2312" w:hAnsi="Times New Roman" w:eastAsia="仿宋_GB2312" w:cs="Times New Roman"/>
          <w:sz w:val="32"/>
          <w:szCs w:val="32"/>
          <w:lang w:eastAsia="zh-CN"/>
        </w:rPr>
        <w:t>水耗</w:t>
      </w:r>
      <w:r>
        <w:rPr>
          <w:rFonts w:hint="eastAsia" w:ascii="仿宋_GB2312" w:hAnsi="Times New Roman" w:eastAsia="仿宋_GB2312" w:cs="Times New Roman"/>
          <w:sz w:val="32"/>
          <w:szCs w:val="32"/>
        </w:rPr>
        <w:t>低于14</w:t>
      </w:r>
      <w:r>
        <w:rPr>
          <w:rFonts w:hint="eastAsia" w:ascii="仿宋_GB2312" w:hAnsi="Times New Roman" w:eastAsia="仿宋_GB2312" w:cs="Times New Roman"/>
          <w:sz w:val="32"/>
          <w:szCs w:val="32"/>
          <w:lang w:eastAsia="zh-CN"/>
        </w:rPr>
        <w:t>吨</w:t>
      </w:r>
      <w:r>
        <w:rPr>
          <w:rFonts w:hint="eastAsia" w:ascii="仿宋_GB2312" w:hAnsi="Times New Roman" w:eastAsia="仿宋_GB2312" w:cs="Times New Roman"/>
          <w:sz w:val="32"/>
          <w:szCs w:val="32"/>
        </w:rPr>
        <w:t>。废水回用率大于95%，废水中盐的含量大幅降低，固体盐资源化利用80%</w:t>
      </w:r>
      <w:r>
        <w:rPr>
          <w:rFonts w:hint="eastAsia" w:ascii="仿宋_GB2312" w:hAnsi="Times New Roman" w:eastAsia="仿宋_GB2312" w:cs="Times New Roman"/>
          <w:sz w:val="32"/>
          <w:szCs w:val="32"/>
          <w:lang w:eastAsia="zh-CN"/>
        </w:rPr>
        <w:t>以上</w:t>
      </w:r>
      <w:r>
        <w:rPr>
          <w:rFonts w:hint="eastAsia" w:ascii="仿宋_GB2312" w:hAnsi="Times New Roman" w:eastAsia="仿宋_GB2312" w:cs="Times New Roman"/>
          <w:sz w:val="32"/>
          <w:szCs w:val="32"/>
        </w:rPr>
        <w:t>。</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（二）传统煤化工（氮肥）。吨合成氨能耗达到先进值，吨废水排放量低于3立方米，烟尘排放低于30毫克/立方米，二氧化硫排放低于100毫克/立方米，氮氧化物排放低于100毫克/立方米。</w:t>
      </w:r>
    </w:p>
    <w:p>
      <w:pPr>
        <w:ind w:firstLine="605" w:firstLineChars="189"/>
        <w:rPr>
          <w:rFonts w:ascii="黑体" w:hAnsi="黑体" w:eastAsia="黑体"/>
          <w:sz w:val="32"/>
          <w:szCs w:val="32"/>
        </w:rPr>
      </w:pPr>
      <w:r>
        <w:rPr>
          <w:rFonts w:hint="eastAsia" w:ascii="黑体" w:hAnsi="黑体" w:eastAsia="黑体"/>
          <w:sz w:val="32"/>
          <w:szCs w:val="32"/>
        </w:rPr>
        <w:t>三、纺织印染行业</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（一）棉、麻、化纤及混纺机织物综合能耗低于30公斤标煤/百米，新鲜水取水量低于1.8吨/百米。</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（二）纱线、针织物综合能耗低于1公斤标煤/吨，新鲜水取水量低于80立方米/吨。</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（三）废水中COD产生浓度优于国家标准。</w:t>
      </w:r>
    </w:p>
    <w:p>
      <w:pPr>
        <w:ind w:firstLine="605" w:firstLineChars="189"/>
        <w:rPr>
          <w:rFonts w:ascii="黑体" w:hAnsi="黑体" w:eastAsia="黑体"/>
          <w:sz w:val="32"/>
          <w:szCs w:val="32"/>
        </w:rPr>
      </w:pPr>
      <w:r>
        <w:rPr>
          <w:rFonts w:hint="eastAsia" w:ascii="黑体" w:hAnsi="黑体" w:eastAsia="黑体"/>
          <w:sz w:val="32"/>
          <w:szCs w:val="32"/>
        </w:rPr>
        <w:t>四、有色金属行业</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（一）能耗指标优于国家能耗限额标准准入值。</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（二）重金属冶炼行业二氧化硫排放浓度低于350毫克/立方米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颗粒物排放浓度低于65毫克/立方米</w:t>
      </w:r>
      <w:r>
        <w:rPr>
          <w:rFonts w:hint="eastAsia" w:ascii="仿宋_GB2312" w:hAnsi="Times New Roman" w:eastAsia="仿宋_GB2312" w:cs="Times New Roman"/>
          <w:sz w:val="32"/>
          <w:szCs w:val="32"/>
          <w:lang w:eastAsia="zh-CN"/>
        </w:rPr>
        <w:t>（铜铅锌镍钴）</w:t>
      </w:r>
      <w:r>
        <w:rPr>
          <w:rFonts w:hint="eastAsia" w:ascii="仿宋_GB2312" w:hAnsi="Times New Roman" w:eastAsia="仿宋_GB2312" w:cs="Times New Roman"/>
          <w:sz w:val="32"/>
          <w:szCs w:val="32"/>
        </w:rPr>
        <w:t>。</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（三）铅锌行业铅及化合物排放浓度低于6.5毫克/立方米。</w:t>
      </w:r>
    </w:p>
    <w:p>
      <w:pPr>
        <w:ind w:firstLine="605" w:firstLineChars="189"/>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（四）稀土行业废气中硫酸雾排放浓度低于30毫克/立方米。</w:t>
      </w:r>
    </w:p>
    <w:p>
      <w:pPr>
        <w:ind w:firstLine="605" w:firstLineChars="189"/>
        <w:rPr>
          <w:rFonts w:ascii="黑体" w:hAnsi="黑体" w:eastAsia="黑体"/>
          <w:sz w:val="32"/>
          <w:szCs w:val="32"/>
        </w:rPr>
      </w:pPr>
      <w:r>
        <w:rPr>
          <w:rFonts w:hint="eastAsia" w:ascii="黑体" w:hAnsi="黑体" w:eastAsia="黑体"/>
          <w:sz w:val="32"/>
          <w:szCs w:val="32"/>
        </w:rPr>
        <w:t>五、陶瓷行业</w:t>
      </w:r>
    </w:p>
    <w:p>
      <w:pPr>
        <w:ind w:firstLine="640" w:firstLineChars="200"/>
        <w:rPr>
          <w:rFonts w:ascii="仿宋_GB2312" w:eastAsia="仿宋_GB2312"/>
          <w:sz w:val="32"/>
          <w:szCs w:val="32"/>
        </w:rPr>
      </w:pPr>
      <w:r>
        <w:rPr>
          <w:rFonts w:hint="eastAsia" w:ascii="仿宋_GB2312" w:eastAsia="仿宋_GB2312"/>
          <w:sz w:val="32"/>
          <w:szCs w:val="32"/>
        </w:rPr>
        <w:t>（一）实现厂区集中制粉、清洁化供应燃气。</w:t>
      </w:r>
    </w:p>
    <w:p>
      <w:pPr>
        <w:ind w:firstLine="640" w:firstLineChars="200"/>
        <w:rPr>
          <w:rFonts w:ascii="仿宋_GB2312" w:hAnsi="仿宋" w:eastAsia="仿宋_GB2312" w:cs="仿宋"/>
          <w:sz w:val="32"/>
          <w:szCs w:val="32"/>
        </w:rPr>
      </w:pPr>
      <w:r>
        <w:rPr>
          <w:rFonts w:hint="eastAsia" w:ascii="仿宋_GB2312" w:eastAsia="仿宋_GB2312"/>
          <w:sz w:val="32"/>
          <w:szCs w:val="32"/>
        </w:rPr>
        <w:t>（二</w:t>
      </w:r>
      <w:r>
        <w:rPr>
          <w:rFonts w:hint="eastAsia" w:ascii="仿宋_GB2312" w:hAnsi="仿宋" w:eastAsia="仿宋_GB2312" w:cs="仿宋"/>
          <w:sz w:val="32"/>
          <w:szCs w:val="32"/>
        </w:rPr>
        <w:t>）实现陶瓷砖薄型化以及卫生陶瓷轻量化，单位产品重量降低</w:t>
      </w:r>
      <w:r>
        <w:rPr>
          <w:rFonts w:ascii="仿宋_GB2312" w:hAnsi="仿宋" w:eastAsia="仿宋_GB2312" w:cs="仿宋"/>
          <w:sz w:val="32"/>
          <w:szCs w:val="32"/>
        </w:rPr>
        <w:t>10%，符合《陶瓷砖》（GB/T 4100-2015）和《卫生陶瓷》（GB 6952-2015）相关要求。</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（三）能耗指标优于国家能耗限额指标准入值。</w:t>
      </w:r>
    </w:p>
    <w:p>
      <w:pPr>
        <w:ind w:firstLine="640" w:firstLineChars="200"/>
        <w:rPr>
          <w:rFonts w:ascii="宋体" w:hAnsi="宋体"/>
          <w:b/>
          <w:sz w:val="30"/>
          <w:szCs w:val="30"/>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仿宋_GB2312" w:hAnsi="仿宋" w:eastAsia="仿宋_GB2312" w:cs="仿宋"/>
          <w:sz w:val="32"/>
          <w:szCs w:val="32"/>
        </w:rPr>
        <w:t>（四）主要污染物排放满足《陶瓷工业污染物排放标准》（</w:t>
      </w:r>
      <w:r>
        <w:rPr>
          <w:rFonts w:ascii="仿宋_GB2312" w:hAnsi="仿宋" w:eastAsia="仿宋_GB2312" w:cs="仿宋"/>
          <w:sz w:val="32"/>
          <w:szCs w:val="32"/>
        </w:rPr>
        <w:t>GB25464-2010）及其修改单要求，实现稳定达标排放。</w:t>
      </w:r>
    </w:p>
    <w:p>
      <w:pPr>
        <w:widowControl/>
        <w:jc w:val="left"/>
        <w:rPr>
          <w:rFonts w:ascii="仿宋_GB2312" w:eastAsia="仿宋_GB2312"/>
          <w:sz w:val="32"/>
          <w:szCs w:val="30"/>
        </w:rPr>
      </w:pPr>
      <w:r>
        <w:rPr>
          <w:rFonts w:hint="eastAsia" w:ascii="仿宋_GB2312" w:eastAsia="仿宋_GB2312"/>
          <w:sz w:val="32"/>
          <w:szCs w:val="30"/>
        </w:rPr>
        <w:t>附件2</w:t>
      </w:r>
    </w:p>
    <w:p>
      <w:pPr>
        <w:widowControl/>
        <w:tabs>
          <w:tab w:val="left" w:pos="8364"/>
        </w:tabs>
        <w:jc w:val="center"/>
        <w:rPr>
          <w:rFonts w:ascii="黑体" w:hAnsi="黑体" w:eastAsia="黑体" w:cs="方正小标宋简体"/>
          <w:bCs/>
          <w:sz w:val="32"/>
          <w:szCs w:val="32"/>
        </w:rPr>
      </w:pPr>
      <w:r>
        <w:rPr>
          <w:rFonts w:hint="eastAsia" w:ascii="黑体" w:hAnsi="黑体" w:eastAsia="黑体" w:cs="方正小标宋简体"/>
          <w:bCs/>
          <w:sz w:val="32"/>
          <w:szCs w:val="32"/>
        </w:rPr>
        <w:t>绿色制造示范目标实施计划表</w:t>
      </w:r>
    </w:p>
    <w:p>
      <w:pPr>
        <w:jc w:val="left"/>
        <w:rPr>
          <w:rFonts w:ascii="宋体" w:hAnsi="宋体"/>
          <w:b/>
          <w:sz w:val="20"/>
          <w:szCs w:val="21"/>
        </w:rPr>
      </w:pPr>
      <w:r>
        <w:rPr>
          <w:rFonts w:hint="eastAsia" w:ascii="宋体" w:hAnsi="宋体"/>
          <w:b/>
          <w:sz w:val="20"/>
          <w:szCs w:val="21"/>
        </w:rPr>
        <w:t>填报单位：</w:t>
      </w:r>
    </w:p>
    <w:tbl>
      <w:tblPr>
        <w:tblStyle w:val="12"/>
        <w:tblW w:w="14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412"/>
        <w:gridCol w:w="1524"/>
        <w:gridCol w:w="1697"/>
        <w:gridCol w:w="1937"/>
        <w:gridCol w:w="1845"/>
        <w:gridCol w:w="1250"/>
        <w:gridCol w:w="180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jc w:val="center"/>
              <w:rPr>
                <w:rFonts w:ascii="宋体" w:hAnsi="宋体"/>
                <w:b/>
                <w:szCs w:val="21"/>
              </w:rPr>
            </w:pPr>
            <w:r>
              <w:rPr>
                <w:rFonts w:hint="eastAsia" w:ascii="宋体" w:hAnsi="宋体"/>
                <w:b/>
                <w:szCs w:val="21"/>
              </w:rPr>
              <w:t>序号</w:t>
            </w:r>
          </w:p>
        </w:tc>
        <w:tc>
          <w:tcPr>
            <w:tcW w:w="2412" w:type="dxa"/>
            <w:vAlign w:val="center"/>
          </w:tcPr>
          <w:p>
            <w:pPr>
              <w:jc w:val="center"/>
              <w:rPr>
                <w:rFonts w:ascii="宋体" w:hAnsi="宋体"/>
                <w:b/>
                <w:szCs w:val="21"/>
              </w:rPr>
            </w:pPr>
            <w:r>
              <w:rPr>
                <w:rFonts w:hint="eastAsia" w:ascii="宋体" w:hAnsi="宋体"/>
                <w:b/>
                <w:szCs w:val="21"/>
              </w:rPr>
              <w:t>示范目标</w:t>
            </w:r>
          </w:p>
        </w:tc>
        <w:tc>
          <w:tcPr>
            <w:tcW w:w="1524" w:type="dxa"/>
            <w:vAlign w:val="center"/>
          </w:tcPr>
          <w:p>
            <w:pPr>
              <w:jc w:val="center"/>
              <w:rPr>
                <w:rFonts w:ascii="宋体" w:hAnsi="宋体"/>
                <w:b/>
                <w:szCs w:val="21"/>
              </w:rPr>
            </w:pPr>
            <w:r>
              <w:rPr>
                <w:rFonts w:hint="eastAsia" w:ascii="宋体" w:hAnsi="宋体"/>
                <w:b/>
                <w:szCs w:val="21"/>
              </w:rPr>
              <w:t>实施主体</w:t>
            </w:r>
          </w:p>
        </w:tc>
        <w:tc>
          <w:tcPr>
            <w:tcW w:w="1697" w:type="dxa"/>
            <w:vAlign w:val="center"/>
          </w:tcPr>
          <w:p>
            <w:pPr>
              <w:jc w:val="center"/>
              <w:rPr>
                <w:rFonts w:ascii="宋体" w:hAnsi="宋体"/>
                <w:b/>
                <w:szCs w:val="21"/>
              </w:rPr>
            </w:pPr>
            <w:r>
              <w:rPr>
                <w:rFonts w:hint="eastAsia" w:ascii="宋体" w:hAnsi="宋体"/>
                <w:b/>
                <w:szCs w:val="21"/>
              </w:rPr>
              <w:t>重点支撑任务</w:t>
            </w:r>
          </w:p>
        </w:tc>
        <w:tc>
          <w:tcPr>
            <w:tcW w:w="1937" w:type="dxa"/>
            <w:vAlign w:val="center"/>
          </w:tcPr>
          <w:p>
            <w:pPr>
              <w:jc w:val="center"/>
              <w:rPr>
                <w:rFonts w:ascii="宋体" w:hAnsi="宋体"/>
                <w:b/>
                <w:szCs w:val="21"/>
              </w:rPr>
            </w:pPr>
            <w:r>
              <w:rPr>
                <w:rFonts w:hint="eastAsia" w:ascii="宋体" w:hAnsi="宋体"/>
                <w:b/>
                <w:szCs w:val="21"/>
              </w:rPr>
              <w:t>主要</w:t>
            </w:r>
            <w:r>
              <w:rPr>
                <w:rFonts w:ascii="宋体" w:hAnsi="宋体"/>
                <w:b/>
                <w:szCs w:val="21"/>
              </w:rPr>
              <w:t>内容</w:t>
            </w:r>
          </w:p>
        </w:tc>
        <w:tc>
          <w:tcPr>
            <w:tcW w:w="1845" w:type="dxa"/>
            <w:vAlign w:val="center"/>
          </w:tcPr>
          <w:p>
            <w:pPr>
              <w:jc w:val="center"/>
              <w:rPr>
                <w:rFonts w:ascii="宋体" w:hAnsi="宋体"/>
                <w:b/>
                <w:szCs w:val="21"/>
              </w:rPr>
            </w:pPr>
            <w:r>
              <w:rPr>
                <w:rFonts w:ascii="宋体" w:hAnsi="宋体"/>
                <w:b/>
                <w:szCs w:val="21"/>
              </w:rPr>
              <w:t>工艺技术</w:t>
            </w:r>
            <w:r>
              <w:rPr>
                <w:rFonts w:hint="eastAsia" w:ascii="宋体" w:hAnsi="宋体"/>
                <w:b/>
                <w:szCs w:val="21"/>
              </w:rPr>
              <w:t>或</w:t>
            </w:r>
          </w:p>
          <w:p>
            <w:pPr>
              <w:jc w:val="center"/>
              <w:rPr>
                <w:rFonts w:ascii="宋体" w:hAnsi="宋体"/>
                <w:b/>
                <w:szCs w:val="21"/>
              </w:rPr>
            </w:pPr>
            <w:r>
              <w:rPr>
                <w:rFonts w:hint="eastAsia" w:ascii="宋体" w:hAnsi="宋体"/>
                <w:b/>
                <w:szCs w:val="21"/>
              </w:rPr>
              <w:t>实施路径</w:t>
            </w:r>
          </w:p>
        </w:tc>
        <w:tc>
          <w:tcPr>
            <w:tcW w:w="1250" w:type="dxa"/>
            <w:vAlign w:val="center"/>
          </w:tcPr>
          <w:p>
            <w:pPr>
              <w:jc w:val="center"/>
              <w:rPr>
                <w:rFonts w:ascii="宋体" w:hAnsi="宋体"/>
                <w:b/>
                <w:szCs w:val="21"/>
              </w:rPr>
            </w:pPr>
            <w:r>
              <w:rPr>
                <w:rFonts w:ascii="宋体" w:hAnsi="宋体"/>
                <w:b/>
                <w:szCs w:val="21"/>
              </w:rPr>
              <w:t>实施期限</w:t>
            </w:r>
          </w:p>
        </w:tc>
        <w:tc>
          <w:tcPr>
            <w:tcW w:w="1807" w:type="dxa"/>
            <w:vAlign w:val="center"/>
          </w:tcPr>
          <w:p>
            <w:pPr>
              <w:jc w:val="center"/>
              <w:rPr>
                <w:rFonts w:ascii="宋体" w:hAnsi="宋体"/>
                <w:b/>
                <w:szCs w:val="21"/>
              </w:rPr>
            </w:pPr>
            <w:r>
              <w:rPr>
                <w:rFonts w:hint="eastAsia" w:ascii="宋体" w:hAnsi="宋体"/>
                <w:b/>
                <w:szCs w:val="21"/>
              </w:rPr>
              <w:t>实施</w:t>
            </w:r>
            <w:r>
              <w:rPr>
                <w:rFonts w:ascii="宋体" w:hAnsi="宋体"/>
                <w:b/>
                <w:szCs w:val="21"/>
              </w:rPr>
              <w:t>效果</w:t>
            </w:r>
          </w:p>
        </w:tc>
        <w:tc>
          <w:tcPr>
            <w:tcW w:w="1254" w:type="dxa"/>
            <w:vAlign w:val="center"/>
          </w:tcPr>
          <w:p>
            <w:pPr>
              <w:jc w:val="center"/>
              <w:rPr>
                <w:rFonts w:ascii="宋体" w:hAnsi="宋体"/>
                <w:b/>
                <w:szCs w:val="21"/>
              </w:rPr>
            </w:pPr>
            <w:r>
              <w:rPr>
                <w:rFonts w:hint="eastAsia" w:ascii="宋体" w:hAnsi="宋体"/>
                <w:b/>
                <w:szCs w:val="21"/>
              </w:rPr>
              <w:t>所需资金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62" w:type="dxa"/>
            <w:gridSpan w:val="9"/>
            <w:vAlign w:val="top"/>
          </w:tcPr>
          <w:p>
            <w:pPr>
              <w:jc w:val="left"/>
              <w:rPr>
                <w:rFonts w:ascii="宋体" w:hAnsi="宋体"/>
                <w:b/>
                <w:szCs w:val="21"/>
              </w:rPr>
            </w:pPr>
            <w:r>
              <w:rPr>
                <w:rFonts w:hint="eastAsia" w:ascii="宋体" w:hAnsi="宋体"/>
                <w:b/>
                <w:szCs w:val="21"/>
              </w:rPr>
              <w:t>一、</w:t>
            </w:r>
            <w:r>
              <w:rPr>
                <w:rFonts w:ascii="宋体" w:hAnsi="宋体"/>
                <w:b/>
                <w:szCs w:val="21"/>
              </w:rPr>
              <w:t>XX行业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rPr>
                <w:rFonts w:ascii="宋体" w:hAnsi="宋体"/>
                <w:szCs w:val="21"/>
              </w:rPr>
            </w:pPr>
            <w:r>
              <w:rPr>
                <w:rFonts w:hint="eastAsia" w:ascii="宋体" w:hAnsi="宋体"/>
                <w:szCs w:val="21"/>
              </w:rPr>
              <w:t>1</w:t>
            </w:r>
          </w:p>
        </w:tc>
        <w:tc>
          <w:tcPr>
            <w:tcW w:w="2412" w:type="dxa"/>
            <w:vMerge w:val="restart"/>
            <w:vAlign w:val="top"/>
          </w:tcPr>
          <w:p>
            <w:pPr>
              <w:rPr>
                <w:rFonts w:ascii="宋体" w:hAnsi="宋体"/>
                <w:szCs w:val="21"/>
              </w:rPr>
            </w:pPr>
          </w:p>
        </w:tc>
        <w:tc>
          <w:tcPr>
            <w:tcW w:w="1524" w:type="dxa"/>
            <w:vMerge w:val="restart"/>
            <w:vAlign w:val="top"/>
          </w:tcPr>
          <w:p>
            <w:pPr>
              <w:rPr>
                <w:rFonts w:ascii="宋体" w:hAnsi="宋体"/>
                <w:szCs w:val="21"/>
              </w:rPr>
            </w:pPr>
            <w:r>
              <w:rPr>
                <w:rFonts w:hint="eastAsia" w:ascii="宋体" w:hAnsi="宋体"/>
                <w:szCs w:val="21"/>
              </w:rPr>
              <w:t>XX企业</w:t>
            </w:r>
          </w:p>
        </w:tc>
        <w:tc>
          <w:tcPr>
            <w:tcW w:w="1697" w:type="dxa"/>
            <w:vAlign w:val="top"/>
          </w:tcPr>
          <w:p>
            <w:pPr>
              <w:rPr>
                <w:rFonts w:ascii="宋体" w:hAnsi="宋体"/>
                <w:szCs w:val="21"/>
              </w:rPr>
            </w:pPr>
            <w:r>
              <w:rPr>
                <w:rFonts w:hint="eastAsia" w:ascii="宋体" w:hAnsi="宋体"/>
                <w:szCs w:val="21"/>
              </w:rPr>
              <w:t>1-1</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rPr>
                <w:rFonts w:ascii="宋体" w:hAnsi="宋体"/>
                <w:szCs w:val="21"/>
              </w:rPr>
            </w:pPr>
          </w:p>
        </w:tc>
        <w:tc>
          <w:tcPr>
            <w:tcW w:w="2412" w:type="dxa"/>
            <w:vMerge w:val="continue"/>
            <w:vAlign w:val="top"/>
          </w:tcPr>
          <w:p>
            <w:pPr>
              <w:rPr>
                <w:rFonts w:ascii="宋体" w:hAnsi="宋体"/>
                <w:szCs w:val="21"/>
              </w:rPr>
            </w:pPr>
          </w:p>
        </w:tc>
        <w:tc>
          <w:tcPr>
            <w:tcW w:w="1524" w:type="dxa"/>
            <w:vMerge w:val="continue"/>
            <w:vAlign w:val="top"/>
          </w:tcPr>
          <w:p>
            <w:pPr>
              <w:rPr>
                <w:rFonts w:ascii="宋体" w:hAnsi="宋体"/>
                <w:szCs w:val="21"/>
              </w:rPr>
            </w:pPr>
          </w:p>
        </w:tc>
        <w:tc>
          <w:tcPr>
            <w:tcW w:w="1697" w:type="dxa"/>
            <w:vAlign w:val="top"/>
          </w:tcPr>
          <w:p>
            <w:pPr>
              <w:rPr>
                <w:rFonts w:ascii="宋体" w:hAnsi="宋体"/>
                <w:szCs w:val="21"/>
              </w:rPr>
            </w:pPr>
            <w:r>
              <w:rPr>
                <w:rFonts w:hint="eastAsia" w:ascii="宋体" w:hAnsi="宋体"/>
                <w:szCs w:val="21"/>
              </w:rPr>
              <w:t>1-2</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rPr>
                <w:rFonts w:ascii="宋体" w:hAnsi="宋体"/>
                <w:szCs w:val="21"/>
              </w:rPr>
            </w:pPr>
          </w:p>
        </w:tc>
        <w:tc>
          <w:tcPr>
            <w:tcW w:w="2412" w:type="dxa"/>
            <w:vMerge w:val="continue"/>
            <w:vAlign w:val="top"/>
          </w:tcPr>
          <w:p>
            <w:pPr>
              <w:rPr>
                <w:rFonts w:ascii="宋体" w:hAnsi="宋体"/>
                <w:szCs w:val="21"/>
              </w:rPr>
            </w:pPr>
          </w:p>
        </w:tc>
        <w:tc>
          <w:tcPr>
            <w:tcW w:w="1524" w:type="dxa"/>
            <w:vMerge w:val="continue"/>
            <w:vAlign w:val="top"/>
          </w:tcPr>
          <w:p>
            <w:pPr>
              <w:rPr>
                <w:rFonts w:ascii="宋体" w:hAnsi="宋体"/>
                <w:szCs w:val="21"/>
              </w:rPr>
            </w:pPr>
          </w:p>
        </w:tc>
        <w:tc>
          <w:tcPr>
            <w:tcW w:w="1697" w:type="dxa"/>
            <w:vAlign w:val="top"/>
          </w:tcPr>
          <w:p>
            <w:pPr>
              <w:rPr>
                <w:rFonts w:ascii="宋体" w:hAnsi="宋体"/>
                <w:szCs w:val="21"/>
              </w:rPr>
            </w:pPr>
            <w:r>
              <w:rPr>
                <w:rFonts w:hint="eastAsia" w:ascii="宋体" w:hAnsi="宋体"/>
                <w:szCs w:val="21"/>
              </w:rPr>
              <w:t>……</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rPr>
                <w:rFonts w:ascii="宋体" w:hAnsi="宋体"/>
                <w:szCs w:val="21"/>
              </w:rPr>
            </w:pPr>
            <w:r>
              <w:rPr>
                <w:rFonts w:hint="eastAsia" w:ascii="宋体" w:hAnsi="宋体"/>
                <w:szCs w:val="21"/>
              </w:rPr>
              <w:t>2</w:t>
            </w:r>
          </w:p>
        </w:tc>
        <w:tc>
          <w:tcPr>
            <w:tcW w:w="2412" w:type="dxa"/>
            <w:vMerge w:val="restart"/>
            <w:vAlign w:val="top"/>
          </w:tcPr>
          <w:p>
            <w:pPr>
              <w:rPr>
                <w:rFonts w:ascii="宋体" w:hAnsi="宋体"/>
                <w:szCs w:val="21"/>
              </w:rPr>
            </w:pPr>
          </w:p>
        </w:tc>
        <w:tc>
          <w:tcPr>
            <w:tcW w:w="1524" w:type="dxa"/>
            <w:vMerge w:val="restart"/>
            <w:vAlign w:val="top"/>
          </w:tcPr>
          <w:p>
            <w:pPr>
              <w:rPr>
                <w:rFonts w:ascii="宋体" w:hAnsi="宋体"/>
                <w:szCs w:val="21"/>
              </w:rPr>
            </w:pPr>
            <w:r>
              <w:rPr>
                <w:rFonts w:hint="eastAsia" w:ascii="宋体" w:hAnsi="宋体"/>
                <w:szCs w:val="21"/>
              </w:rPr>
              <w:t>XX企业</w:t>
            </w:r>
          </w:p>
        </w:tc>
        <w:tc>
          <w:tcPr>
            <w:tcW w:w="1697" w:type="dxa"/>
            <w:vAlign w:val="top"/>
          </w:tcPr>
          <w:p>
            <w:pPr>
              <w:rPr>
                <w:rFonts w:ascii="宋体" w:hAnsi="宋体"/>
                <w:szCs w:val="21"/>
              </w:rPr>
            </w:pPr>
            <w:r>
              <w:rPr>
                <w:rFonts w:hint="eastAsia" w:ascii="宋体" w:hAnsi="宋体"/>
                <w:szCs w:val="21"/>
              </w:rPr>
              <w:t>2-1</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rPr>
                <w:rFonts w:ascii="宋体" w:hAnsi="宋体"/>
                <w:szCs w:val="21"/>
              </w:rPr>
            </w:pPr>
          </w:p>
        </w:tc>
        <w:tc>
          <w:tcPr>
            <w:tcW w:w="2412" w:type="dxa"/>
            <w:vMerge w:val="continue"/>
            <w:vAlign w:val="top"/>
          </w:tcPr>
          <w:p>
            <w:pPr>
              <w:rPr>
                <w:rFonts w:ascii="宋体" w:hAnsi="宋体"/>
                <w:szCs w:val="21"/>
              </w:rPr>
            </w:pPr>
          </w:p>
        </w:tc>
        <w:tc>
          <w:tcPr>
            <w:tcW w:w="1524" w:type="dxa"/>
            <w:vMerge w:val="continue"/>
            <w:vAlign w:val="top"/>
          </w:tcPr>
          <w:p>
            <w:pPr>
              <w:rPr>
                <w:rFonts w:ascii="宋体" w:hAnsi="宋体"/>
                <w:szCs w:val="21"/>
              </w:rPr>
            </w:pPr>
          </w:p>
        </w:tc>
        <w:tc>
          <w:tcPr>
            <w:tcW w:w="1697" w:type="dxa"/>
            <w:vAlign w:val="top"/>
          </w:tcPr>
          <w:p>
            <w:pPr>
              <w:rPr>
                <w:rFonts w:ascii="宋体" w:hAnsi="宋体"/>
                <w:szCs w:val="21"/>
              </w:rPr>
            </w:pPr>
            <w:r>
              <w:rPr>
                <w:rFonts w:hint="eastAsia" w:ascii="宋体" w:hAnsi="宋体"/>
                <w:szCs w:val="21"/>
              </w:rPr>
              <w:t>2-2</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rPr>
                <w:rFonts w:ascii="宋体" w:hAnsi="宋体"/>
                <w:szCs w:val="21"/>
              </w:rPr>
            </w:pPr>
          </w:p>
        </w:tc>
        <w:tc>
          <w:tcPr>
            <w:tcW w:w="2412" w:type="dxa"/>
            <w:vMerge w:val="continue"/>
            <w:vAlign w:val="top"/>
          </w:tcPr>
          <w:p>
            <w:pPr>
              <w:rPr>
                <w:rFonts w:ascii="宋体" w:hAnsi="宋体"/>
                <w:szCs w:val="21"/>
              </w:rPr>
            </w:pPr>
          </w:p>
        </w:tc>
        <w:tc>
          <w:tcPr>
            <w:tcW w:w="1524" w:type="dxa"/>
            <w:vMerge w:val="continue"/>
            <w:vAlign w:val="top"/>
          </w:tcPr>
          <w:p>
            <w:pPr>
              <w:rPr>
                <w:rFonts w:ascii="宋体" w:hAnsi="宋体"/>
                <w:szCs w:val="21"/>
              </w:rPr>
            </w:pPr>
          </w:p>
        </w:tc>
        <w:tc>
          <w:tcPr>
            <w:tcW w:w="1697" w:type="dxa"/>
            <w:vAlign w:val="top"/>
          </w:tcPr>
          <w:p>
            <w:pPr>
              <w:rPr>
                <w:rFonts w:ascii="宋体" w:hAnsi="宋体"/>
                <w:szCs w:val="21"/>
              </w:rPr>
            </w:pPr>
            <w:r>
              <w:rPr>
                <w:rFonts w:hint="eastAsia" w:ascii="宋体" w:hAnsi="宋体"/>
                <w:szCs w:val="21"/>
              </w:rPr>
              <w:t>……</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rPr>
                <w:rFonts w:ascii="宋体" w:hAnsi="宋体"/>
                <w:szCs w:val="21"/>
              </w:rPr>
            </w:pPr>
            <w:r>
              <w:rPr>
                <w:rFonts w:hint="eastAsia" w:ascii="宋体" w:hAnsi="宋体"/>
                <w:szCs w:val="21"/>
              </w:rPr>
              <w:t>……</w:t>
            </w:r>
          </w:p>
        </w:tc>
        <w:tc>
          <w:tcPr>
            <w:tcW w:w="2412" w:type="dxa"/>
            <w:vAlign w:val="top"/>
          </w:tcPr>
          <w:p>
            <w:pPr>
              <w:rPr>
                <w:rFonts w:ascii="宋体" w:hAnsi="宋体"/>
                <w:szCs w:val="21"/>
              </w:rPr>
            </w:pPr>
            <w:r>
              <w:rPr>
                <w:rFonts w:hint="eastAsia" w:ascii="宋体" w:hAnsi="宋体"/>
                <w:szCs w:val="21"/>
              </w:rPr>
              <w:t>……</w:t>
            </w:r>
          </w:p>
        </w:tc>
        <w:tc>
          <w:tcPr>
            <w:tcW w:w="1524" w:type="dxa"/>
            <w:vAlign w:val="top"/>
          </w:tcPr>
          <w:p>
            <w:pPr>
              <w:rPr>
                <w:rFonts w:ascii="宋体" w:hAnsi="宋体"/>
                <w:szCs w:val="21"/>
              </w:rPr>
            </w:pPr>
            <w:r>
              <w:rPr>
                <w:rFonts w:hint="eastAsia" w:ascii="宋体" w:hAnsi="宋体"/>
                <w:szCs w:val="21"/>
              </w:rPr>
              <w:t>……</w:t>
            </w:r>
          </w:p>
        </w:tc>
        <w:tc>
          <w:tcPr>
            <w:tcW w:w="1697" w:type="dxa"/>
            <w:vAlign w:val="top"/>
          </w:tcPr>
          <w:p>
            <w:pPr>
              <w:rPr>
                <w:rFonts w:ascii="宋体" w:hAnsi="宋体"/>
                <w:szCs w:val="21"/>
              </w:rPr>
            </w:pPr>
            <w:r>
              <w:rPr>
                <w:rFonts w:hint="eastAsia" w:ascii="宋体" w:hAnsi="宋体"/>
                <w:szCs w:val="21"/>
              </w:rPr>
              <w:t>……</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62" w:type="dxa"/>
            <w:gridSpan w:val="9"/>
            <w:vAlign w:val="top"/>
          </w:tcPr>
          <w:p>
            <w:pPr>
              <w:rPr>
                <w:rFonts w:ascii="宋体" w:hAnsi="宋体"/>
                <w:b/>
                <w:szCs w:val="21"/>
              </w:rPr>
            </w:pPr>
            <w:r>
              <w:rPr>
                <w:rFonts w:hint="eastAsia" w:ascii="宋体" w:hAnsi="宋体"/>
                <w:b/>
                <w:szCs w:val="21"/>
              </w:rPr>
              <w:t>二、</w:t>
            </w:r>
            <w:r>
              <w:rPr>
                <w:rFonts w:ascii="宋体" w:hAnsi="宋体"/>
                <w:b/>
                <w:szCs w:val="21"/>
              </w:rPr>
              <w:t>XX行业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rPr>
                <w:rFonts w:ascii="宋体" w:hAnsi="宋体"/>
                <w:szCs w:val="21"/>
              </w:rPr>
            </w:pPr>
            <w:r>
              <w:rPr>
                <w:rFonts w:hint="eastAsia" w:ascii="宋体" w:hAnsi="宋体"/>
                <w:szCs w:val="21"/>
              </w:rPr>
              <w:t>……</w:t>
            </w:r>
          </w:p>
        </w:tc>
        <w:tc>
          <w:tcPr>
            <w:tcW w:w="2412" w:type="dxa"/>
            <w:vAlign w:val="top"/>
          </w:tcPr>
          <w:p>
            <w:pPr>
              <w:rPr>
                <w:rFonts w:ascii="宋体" w:hAnsi="宋体"/>
                <w:szCs w:val="21"/>
              </w:rPr>
            </w:pPr>
            <w:r>
              <w:rPr>
                <w:rFonts w:hint="eastAsia" w:ascii="宋体" w:hAnsi="宋体"/>
                <w:szCs w:val="21"/>
              </w:rPr>
              <w:t>……</w:t>
            </w:r>
          </w:p>
        </w:tc>
        <w:tc>
          <w:tcPr>
            <w:tcW w:w="1524" w:type="dxa"/>
            <w:vAlign w:val="top"/>
          </w:tcPr>
          <w:p>
            <w:pPr>
              <w:rPr>
                <w:rFonts w:ascii="宋体" w:hAnsi="宋体"/>
                <w:szCs w:val="21"/>
              </w:rPr>
            </w:pPr>
            <w:r>
              <w:rPr>
                <w:rFonts w:hint="eastAsia" w:ascii="宋体" w:hAnsi="宋体"/>
                <w:szCs w:val="21"/>
              </w:rPr>
              <w:t>……</w:t>
            </w:r>
          </w:p>
        </w:tc>
        <w:tc>
          <w:tcPr>
            <w:tcW w:w="1697" w:type="dxa"/>
            <w:vAlign w:val="top"/>
          </w:tcPr>
          <w:p>
            <w:pPr>
              <w:rPr>
                <w:rFonts w:ascii="宋体" w:hAnsi="宋体"/>
                <w:szCs w:val="21"/>
              </w:rPr>
            </w:pPr>
            <w:r>
              <w:rPr>
                <w:rFonts w:hint="eastAsia" w:ascii="宋体" w:hAnsi="宋体"/>
                <w:szCs w:val="21"/>
              </w:rPr>
              <w:t>……</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62" w:type="dxa"/>
            <w:gridSpan w:val="9"/>
            <w:vAlign w:val="top"/>
          </w:tcPr>
          <w:p>
            <w:pPr>
              <w:rPr>
                <w:rFonts w:ascii="宋体" w:hAnsi="宋体"/>
                <w:b/>
                <w:szCs w:val="21"/>
              </w:rPr>
            </w:pPr>
            <w:r>
              <w:rPr>
                <w:rFonts w:hint="eastAsia" w:ascii="宋体" w:hAnsi="宋体"/>
                <w:b/>
                <w:szCs w:val="21"/>
              </w:rPr>
              <w:t>三、</w:t>
            </w:r>
            <w:r>
              <w:rPr>
                <w:rFonts w:ascii="宋体" w:hAnsi="宋体"/>
                <w:b/>
                <w:szCs w:val="21"/>
              </w:rPr>
              <w:t>XX城市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rPr>
                <w:rFonts w:ascii="宋体" w:hAnsi="宋体"/>
                <w:szCs w:val="21"/>
              </w:rPr>
            </w:pPr>
            <w:r>
              <w:rPr>
                <w:rFonts w:hint="eastAsia" w:ascii="宋体" w:hAnsi="宋体"/>
                <w:szCs w:val="21"/>
              </w:rPr>
              <w:t>X</w:t>
            </w:r>
          </w:p>
        </w:tc>
        <w:tc>
          <w:tcPr>
            <w:tcW w:w="2412" w:type="dxa"/>
            <w:vMerge w:val="restart"/>
            <w:vAlign w:val="top"/>
          </w:tcPr>
          <w:p>
            <w:pPr>
              <w:rPr>
                <w:rFonts w:ascii="宋体" w:hAnsi="宋体"/>
                <w:szCs w:val="21"/>
              </w:rPr>
            </w:pPr>
          </w:p>
        </w:tc>
        <w:tc>
          <w:tcPr>
            <w:tcW w:w="1524" w:type="dxa"/>
            <w:vMerge w:val="restart"/>
            <w:vAlign w:val="top"/>
          </w:tcPr>
          <w:p>
            <w:pPr>
              <w:rPr>
                <w:rFonts w:ascii="宋体" w:hAnsi="宋体"/>
                <w:szCs w:val="21"/>
              </w:rPr>
            </w:pPr>
            <w:r>
              <w:rPr>
                <w:rFonts w:hint="eastAsia" w:ascii="宋体" w:hAnsi="宋体"/>
                <w:szCs w:val="21"/>
              </w:rPr>
              <w:t>XX城市</w:t>
            </w:r>
          </w:p>
        </w:tc>
        <w:tc>
          <w:tcPr>
            <w:tcW w:w="1697" w:type="dxa"/>
            <w:vAlign w:val="top"/>
          </w:tcPr>
          <w:p>
            <w:pPr>
              <w:rPr>
                <w:rFonts w:ascii="宋体" w:hAnsi="宋体"/>
                <w:szCs w:val="21"/>
              </w:rPr>
            </w:pPr>
            <w:r>
              <w:rPr>
                <w:rFonts w:hint="eastAsia" w:ascii="宋体" w:hAnsi="宋体"/>
                <w:szCs w:val="21"/>
              </w:rPr>
              <w:t>X-1</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rPr>
                <w:rFonts w:ascii="宋体" w:hAnsi="宋体"/>
                <w:szCs w:val="21"/>
              </w:rPr>
            </w:pPr>
          </w:p>
        </w:tc>
        <w:tc>
          <w:tcPr>
            <w:tcW w:w="2412" w:type="dxa"/>
            <w:vMerge w:val="continue"/>
            <w:vAlign w:val="top"/>
          </w:tcPr>
          <w:p>
            <w:pPr>
              <w:rPr>
                <w:rFonts w:ascii="宋体" w:hAnsi="宋体"/>
                <w:szCs w:val="21"/>
              </w:rPr>
            </w:pPr>
          </w:p>
        </w:tc>
        <w:tc>
          <w:tcPr>
            <w:tcW w:w="1524" w:type="dxa"/>
            <w:vMerge w:val="continue"/>
            <w:vAlign w:val="top"/>
          </w:tcPr>
          <w:p>
            <w:pPr>
              <w:rPr>
                <w:rFonts w:ascii="宋体" w:hAnsi="宋体"/>
                <w:szCs w:val="21"/>
              </w:rPr>
            </w:pPr>
          </w:p>
        </w:tc>
        <w:tc>
          <w:tcPr>
            <w:tcW w:w="1697" w:type="dxa"/>
            <w:vAlign w:val="top"/>
          </w:tcPr>
          <w:p>
            <w:pPr>
              <w:rPr>
                <w:rFonts w:ascii="宋体" w:hAnsi="宋体"/>
                <w:szCs w:val="21"/>
              </w:rPr>
            </w:pPr>
            <w:r>
              <w:rPr>
                <w:rFonts w:hint="eastAsia" w:ascii="宋体" w:hAnsi="宋体"/>
                <w:szCs w:val="21"/>
              </w:rPr>
              <w:t>X-2</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rPr>
                <w:rFonts w:ascii="宋体" w:hAnsi="宋体"/>
                <w:szCs w:val="21"/>
              </w:rPr>
            </w:pPr>
          </w:p>
        </w:tc>
        <w:tc>
          <w:tcPr>
            <w:tcW w:w="2412" w:type="dxa"/>
            <w:vMerge w:val="continue"/>
            <w:vAlign w:val="top"/>
          </w:tcPr>
          <w:p>
            <w:pPr>
              <w:rPr>
                <w:rFonts w:ascii="宋体" w:hAnsi="宋体"/>
                <w:szCs w:val="21"/>
              </w:rPr>
            </w:pPr>
          </w:p>
        </w:tc>
        <w:tc>
          <w:tcPr>
            <w:tcW w:w="1524" w:type="dxa"/>
            <w:vMerge w:val="continue"/>
            <w:vAlign w:val="top"/>
          </w:tcPr>
          <w:p>
            <w:pPr>
              <w:rPr>
                <w:rFonts w:ascii="宋体" w:hAnsi="宋体"/>
                <w:szCs w:val="21"/>
              </w:rPr>
            </w:pPr>
          </w:p>
        </w:tc>
        <w:tc>
          <w:tcPr>
            <w:tcW w:w="1697" w:type="dxa"/>
            <w:vAlign w:val="top"/>
          </w:tcPr>
          <w:p>
            <w:pPr>
              <w:rPr>
                <w:rFonts w:ascii="宋体" w:hAnsi="宋体"/>
                <w:szCs w:val="21"/>
              </w:rPr>
            </w:pPr>
            <w:r>
              <w:rPr>
                <w:rFonts w:hint="eastAsia" w:ascii="宋体" w:hAnsi="宋体"/>
                <w:szCs w:val="21"/>
              </w:rPr>
              <w:t>……</w:t>
            </w:r>
          </w:p>
        </w:tc>
        <w:tc>
          <w:tcPr>
            <w:tcW w:w="1937" w:type="dxa"/>
            <w:vAlign w:val="top"/>
          </w:tcPr>
          <w:p>
            <w:pPr>
              <w:rPr>
                <w:rFonts w:ascii="宋体" w:hAnsi="宋体"/>
                <w:szCs w:val="21"/>
              </w:rPr>
            </w:pPr>
          </w:p>
        </w:tc>
        <w:tc>
          <w:tcPr>
            <w:tcW w:w="1845" w:type="dxa"/>
            <w:vAlign w:val="top"/>
          </w:tcPr>
          <w:p>
            <w:pPr>
              <w:rPr>
                <w:rFonts w:ascii="宋体" w:hAnsi="宋体"/>
                <w:szCs w:val="21"/>
              </w:rPr>
            </w:pPr>
          </w:p>
        </w:tc>
        <w:tc>
          <w:tcPr>
            <w:tcW w:w="1250" w:type="dxa"/>
            <w:vAlign w:val="top"/>
          </w:tcPr>
          <w:p>
            <w:pPr>
              <w:rPr>
                <w:rFonts w:ascii="宋体" w:hAnsi="宋体"/>
                <w:szCs w:val="21"/>
              </w:rPr>
            </w:pPr>
          </w:p>
        </w:tc>
        <w:tc>
          <w:tcPr>
            <w:tcW w:w="1807" w:type="dxa"/>
            <w:vAlign w:val="top"/>
          </w:tcPr>
          <w:p>
            <w:pPr>
              <w:rPr>
                <w:rFonts w:ascii="宋体" w:hAnsi="宋体"/>
                <w:szCs w:val="21"/>
              </w:rPr>
            </w:pPr>
          </w:p>
        </w:tc>
        <w:tc>
          <w:tcPr>
            <w:tcW w:w="1254" w:type="dxa"/>
            <w:vAlign w:val="top"/>
          </w:tcPr>
          <w:p>
            <w:pPr>
              <w:rPr>
                <w:rFonts w:ascii="宋体" w:hAnsi="宋体"/>
                <w:szCs w:val="21"/>
              </w:rPr>
            </w:pPr>
          </w:p>
        </w:tc>
      </w:tr>
    </w:tbl>
    <w:p>
      <w:pPr>
        <w:snapToGrid w:val="0"/>
        <w:spacing w:line="260" w:lineRule="exact"/>
        <w:jc w:val="left"/>
        <w:rPr>
          <w:rFonts w:ascii="宋体" w:hAnsi="宋体"/>
          <w:b/>
          <w:sz w:val="20"/>
          <w:szCs w:val="21"/>
        </w:rPr>
      </w:pPr>
      <w:r>
        <w:rPr>
          <w:rFonts w:hint="eastAsia" w:ascii="宋体" w:hAnsi="宋体"/>
          <w:b/>
          <w:sz w:val="20"/>
          <w:szCs w:val="21"/>
        </w:rPr>
        <w:t>注：</w:t>
      </w:r>
      <w:r>
        <w:rPr>
          <w:rFonts w:hint="eastAsia" w:ascii="宋体" w:hAnsi="宋体"/>
          <w:sz w:val="20"/>
          <w:szCs w:val="21"/>
        </w:rPr>
        <w:t>绿色制造示范目标的年度实施计划表、年度完成情况表的格式同此表。</w:t>
      </w:r>
    </w:p>
    <w:p>
      <w:pPr>
        <w:snapToGrid w:val="0"/>
        <w:spacing w:line="260" w:lineRule="exact"/>
        <w:ind w:firstLine="781" w:firstLineChars="389"/>
        <w:jc w:val="left"/>
        <w:rPr>
          <w:sz w:val="18"/>
          <w:szCs w:val="18"/>
        </w:rPr>
        <w:sectPr>
          <w:pgSz w:w="16838" w:h="11906" w:orient="landscape"/>
          <w:pgMar w:top="1800" w:right="1440" w:bottom="1800" w:left="1440" w:header="851" w:footer="992" w:gutter="0"/>
          <w:cols w:space="720" w:num="1"/>
          <w:docGrid w:type="lines" w:linePitch="312" w:charSpace="0"/>
        </w:sectPr>
      </w:pPr>
      <w:r>
        <w:rPr>
          <w:rFonts w:hint="eastAsia" w:ascii="宋体" w:hAnsi="宋体"/>
          <w:b/>
          <w:sz w:val="20"/>
          <w:szCs w:val="21"/>
        </w:rPr>
        <w:t>填表说明：</w:t>
      </w:r>
      <w:r>
        <w:rPr>
          <w:rFonts w:hint="eastAsia"/>
          <w:sz w:val="18"/>
          <w:szCs w:val="18"/>
        </w:rPr>
        <w:t>（1）行业类别按照申报范围确定的重点行业分类；（2）示范目标包括以企业为实施主体的定量指标，以申报城市为实施主体的能力建设目标、重点支撑项目实施和资金落实目标、绿色制造体系培育目标等；（3）实施主体包括企业和申报城市；（4）重点支撑任务包括以企业为实施主体的重点支撑项目名称，以申报城市为实施主体的能力建设和保障措施名称；（5）主要内容在重点支撑任务名称下进一步细化；（6）工艺技术是以企业为实施主体的重点支撑项目的工艺技术路线，实施路径是以申报城市为实施主体的能力建设和保障措施实施步骤；（7）实施期限按三年试点期分解；（8）实施效果在年度实施计划表中为预期效果，在年度完成情况表中为完成效果；（9）所需资金，包括与绿色制造示范工作密切相关的投资总额。</w:t>
      </w:r>
    </w:p>
    <w:p>
      <w:pPr>
        <w:snapToGrid w:val="0"/>
        <w:spacing w:line="260" w:lineRule="exact"/>
        <w:ind w:firstLine="700" w:firstLineChars="389"/>
        <w:jc w:val="left"/>
        <w:rPr>
          <w:sz w:val="18"/>
          <w:szCs w:val="18"/>
        </w:rPr>
      </w:pPr>
      <w:bookmarkStart w:id="0" w:name="_GoBack"/>
    </w:p>
    <w:bookmarkEnd w:id="0"/>
    <w:p>
      <w:pPr>
        <w:ind w:firstLine="700"/>
        <w:jc w:val="center"/>
        <w:rPr>
          <w:sz w:val="18"/>
          <w:szCs w:val="1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altName w:val="微软雅黑"/>
    <w:panose1 w:val="00000000000000000000"/>
    <w:charset w:val="86"/>
    <w:family w:val="auto"/>
    <w:pitch w:val="default"/>
    <w:sig w:usb0="00000000" w:usb1="080E0000" w:usb2="0000000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18"/>
        <w:lang w:val="en-US" w:eastAsia="zh-CN" w:bidi="ar-SA"/>
      </w:rPr>
      <w:pict>
        <v:shape id="文本框 3"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2670"/>
    <w:rsid w:val="00006F2A"/>
    <w:rsid w:val="00036C68"/>
    <w:rsid w:val="0003775D"/>
    <w:rsid w:val="000378AC"/>
    <w:rsid w:val="000412E1"/>
    <w:rsid w:val="00041637"/>
    <w:rsid w:val="00041D04"/>
    <w:rsid w:val="00051017"/>
    <w:rsid w:val="00055F8B"/>
    <w:rsid w:val="0005655E"/>
    <w:rsid w:val="00056CD2"/>
    <w:rsid w:val="000625FA"/>
    <w:rsid w:val="00066145"/>
    <w:rsid w:val="00072B7A"/>
    <w:rsid w:val="00074926"/>
    <w:rsid w:val="00081671"/>
    <w:rsid w:val="000866F9"/>
    <w:rsid w:val="00097EC6"/>
    <w:rsid w:val="000A070D"/>
    <w:rsid w:val="000A0C1B"/>
    <w:rsid w:val="000A3746"/>
    <w:rsid w:val="000A58A0"/>
    <w:rsid w:val="000A70C7"/>
    <w:rsid w:val="000A758C"/>
    <w:rsid w:val="000B2971"/>
    <w:rsid w:val="000B3D2A"/>
    <w:rsid w:val="000B3ED4"/>
    <w:rsid w:val="000C09B1"/>
    <w:rsid w:val="000C105F"/>
    <w:rsid w:val="000C67D5"/>
    <w:rsid w:val="000D2B8A"/>
    <w:rsid w:val="000D342F"/>
    <w:rsid w:val="000D5B0E"/>
    <w:rsid w:val="000E0D26"/>
    <w:rsid w:val="000E35E2"/>
    <w:rsid w:val="000E5F67"/>
    <w:rsid w:val="000F3682"/>
    <w:rsid w:val="000F3CE0"/>
    <w:rsid w:val="00101213"/>
    <w:rsid w:val="00101E38"/>
    <w:rsid w:val="00103312"/>
    <w:rsid w:val="001058C0"/>
    <w:rsid w:val="00111E83"/>
    <w:rsid w:val="001121CB"/>
    <w:rsid w:val="001162AB"/>
    <w:rsid w:val="00116F19"/>
    <w:rsid w:val="00122B74"/>
    <w:rsid w:val="00125E2E"/>
    <w:rsid w:val="001319C8"/>
    <w:rsid w:val="001465CB"/>
    <w:rsid w:val="001521BE"/>
    <w:rsid w:val="0015528B"/>
    <w:rsid w:val="001572E3"/>
    <w:rsid w:val="00157404"/>
    <w:rsid w:val="001605F2"/>
    <w:rsid w:val="00162F1E"/>
    <w:rsid w:val="0016307C"/>
    <w:rsid w:val="00163673"/>
    <w:rsid w:val="00174AAD"/>
    <w:rsid w:val="00180E47"/>
    <w:rsid w:val="001833B6"/>
    <w:rsid w:val="00184F71"/>
    <w:rsid w:val="00196F01"/>
    <w:rsid w:val="001A1253"/>
    <w:rsid w:val="001A26D4"/>
    <w:rsid w:val="001A2ADE"/>
    <w:rsid w:val="001A4543"/>
    <w:rsid w:val="001A4B5C"/>
    <w:rsid w:val="001B072E"/>
    <w:rsid w:val="001B2EDB"/>
    <w:rsid w:val="001B39AB"/>
    <w:rsid w:val="001B4409"/>
    <w:rsid w:val="001B6E66"/>
    <w:rsid w:val="001B769E"/>
    <w:rsid w:val="001B7F4A"/>
    <w:rsid w:val="001C1991"/>
    <w:rsid w:val="001C7F57"/>
    <w:rsid w:val="001D2444"/>
    <w:rsid w:val="001D301E"/>
    <w:rsid w:val="001D5D96"/>
    <w:rsid w:val="001D7274"/>
    <w:rsid w:val="001E4D33"/>
    <w:rsid w:val="001F24B4"/>
    <w:rsid w:val="002004AC"/>
    <w:rsid w:val="002006B7"/>
    <w:rsid w:val="00202762"/>
    <w:rsid w:val="00204D26"/>
    <w:rsid w:val="002064FB"/>
    <w:rsid w:val="002107D9"/>
    <w:rsid w:val="00215788"/>
    <w:rsid w:val="00222FEE"/>
    <w:rsid w:val="00226886"/>
    <w:rsid w:val="00235EAE"/>
    <w:rsid w:val="002369D4"/>
    <w:rsid w:val="0024206F"/>
    <w:rsid w:val="00254189"/>
    <w:rsid w:val="0026276E"/>
    <w:rsid w:val="002652EB"/>
    <w:rsid w:val="00267669"/>
    <w:rsid w:val="00276F0F"/>
    <w:rsid w:val="00292B77"/>
    <w:rsid w:val="002A0BB1"/>
    <w:rsid w:val="002A0D9A"/>
    <w:rsid w:val="002A101F"/>
    <w:rsid w:val="002A3A78"/>
    <w:rsid w:val="002A4283"/>
    <w:rsid w:val="002A6FBB"/>
    <w:rsid w:val="002A70B2"/>
    <w:rsid w:val="002B2E5E"/>
    <w:rsid w:val="002C481E"/>
    <w:rsid w:val="002C6AAE"/>
    <w:rsid w:val="002D2C55"/>
    <w:rsid w:val="002E5E56"/>
    <w:rsid w:val="002F08A1"/>
    <w:rsid w:val="002F342C"/>
    <w:rsid w:val="00305BF2"/>
    <w:rsid w:val="0031483B"/>
    <w:rsid w:val="00315753"/>
    <w:rsid w:val="00317010"/>
    <w:rsid w:val="003210FE"/>
    <w:rsid w:val="003263E6"/>
    <w:rsid w:val="00327444"/>
    <w:rsid w:val="00327AB8"/>
    <w:rsid w:val="00331FF0"/>
    <w:rsid w:val="00344EA8"/>
    <w:rsid w:val="00345C05"/>
    <w:rsid w:val="00345CA1"/>
    <w:rsid w:val="00346A4F"/>
    <w:rsid w:val="00347180"/>
    <w:rsid w:val="003476DD"/>
    <w:rsid w:val="00350E97"/>
    <w:rsid w:val="00352F6F"/>
    <w:rsid w:val="00353328"/>
    <w:rsid w:val="00356A35"/>
    <w:rsid w:val="0036512E"/>
    <w:rsid w:val="00366F93"/>
    <w:rsid w:val="00383476"/>
    <w:rsid w:val="00384D8A"/>
    <w:rsid w:val="003A0D8B"/>
    <w:rsid w:val="003A4DEA"/>
    <w:rsid w:val="003A6897"/>
    <w:rsid w:val="003A6A57"/>
    <w:rsid w:val="003A7FAF"/>
    <w:rsid w:val="003B7295"/>
    <w:rsid w:val="003C2029"/>
    <w:rsid w:val="003C4D0E"/>
    <w:rsid w:val="003C76FC"/>
    <w:rsid w:val="003E4C9A"/>
    <w:rsid w:val="00400D72"/>
    <w:rsid w:val="00403387"/>
    <w:rsid w:val="00403F21"/>
    <w:rsid w:val="004078AF"/>
    <w:rsid w:val="004127CC"/>
    <w:rsid w:val="00413639"/>
    <w:rsid w:val="004167DD"/>
    <w:rsid w:val="00422F12"/>
    <w:rsid w:val="00426585"/>
    <w:rsid w:val="0042684A"/>
    <w:rsid w:val="00430E76"/>
    <w:rsid w:val="0043296B"/>
    <w:rsid w:val="00435EC1"/>
    <w:rsid w:val="0044209D"/>
    <w:rsid w:val="00442D8B"/>
    <w:rsid w:val="0044638A"/>
    <w:rsid w:val="0045382C"/>
    <w:rsid w:val="004541AA"/>
    <w:rsid w:val="004556EE"/>
    <w:rsid w:val="00464866"/>
    <w:rsid w:val="004679FA"/>
    <w:rsid w:val="0047659C"/>
    <w:rsid w:val="00477AE8"/>
    <w:rsid w:val="00480B82"/>
    <w:rsid w:val="00483285"/>
    <w:rsid w:val="00486C93"/>
    <w:rsid w:val="00491EE8"/>
    <w:rsid w:val="004945B1"/>
    <w:rsid w:val="00495953"/>
    <w:rsid w:val="0049616C"/>
    <w:rsid w:val="004A3B8A"/>
    <w:rsid w:val="004A54B7"/>
    <w:rsid w:val="004B3B5F"/>
    <w:rsid w:val="004B5763"/>
    <w:rsid w:val="004B7593"/>
    <w:rsid w:val="004B7ABA"/>
    <w:rsid w:val="004C4A90"/>
    <w:rsid w:val="004D2A69"/>
    <w:rsid w:val="004D4584"/>
    <w:rsid w:val="004E20BB"/>
    <w:rsid w:val="004F033A"/>
    <w:rsid w:val="004F0571"/>
    <w:rsid w:val="004F26F1"/>
    <w:rsid w:val="004F430C"/>
    <w:rsid w:val="004F566C"/>
    <w:rsid w:val="00505134"/>
    <w:rsid w:val="00513F2D"/>
    <w:rsid w:val="00515C6A"/>
    <w:rsid w:val="0052332E"/>
    <w:rsid w:val="00525893"/>
    <w:rsid w:val="00526A88"/>
    <w:rsid w:val="00530014"/>
    <w:rsid w:val="00535599"/>
    <w:rsid w:val="005405E9"/>
    <w:rsid w:val="005408D6"/>
    <w:rsid w:val="00542A1B"/>
    <w:rsid w:val="005432BC"/>
    <w:rsid w:val="00555519"/>
    <w:rsid w:val="005672C3"/>
    <w:rsid w:val="005741DA"/>
    <w:rsid w:val="00582D4E"/>
    <w:rsid w:val="00583567"/>
    <w:rsid w:val="00584838"/>
    <w:rsid w:val="00585D5E"/>
    <w:rsid w:val="00590050"/>
    <w:rsid w:val="00590E5E"/>
    <w:rsid w:val="005927E4"/>
    <w:rsid w:val="0059391D"/>
    <w:rsid w:val="00594A13"/>
    <w:rsid w:val="00597247"/>
    <w:rsid w:val="005A0731"/>
    <w:rsid w:val="005B19E3"/>
    <w:rsid w:val="005B39F6"/>
    <w:rsid w:val="005B40F3"/>
    <w:rsid w:val="005C6696"/>
    <w:rsid w:val="005D1342"/>
    <w:rsid w:val="005D28CE"/>
    <w:rsid w:val="005D3B3B"/>
    <w:rsid w:val="005D4124"/>
    <w:rsid w:val="005D527D"/>
    <w:rsid w:val="005E3D94"/>
    <w:rsid w:val="005F0997"/>
    <w:rsid w:val="005F3500"/>
    <w:rsid w:val="005F7BF4"/>
    <w:rsid w:val="00604381"/>
    <w:rsid w:val="00606D92"/>
    <w:rsid w:val="00611F95"/>
    <w:rsid w:val="00614AB7"/>
    <w:rsid w:val="00622B4D"/>
    <w:rsid w:val="00625D25"/>
    <w:rsid w:val="006278A6"/>
    <w:rsid w:val="00630FC2"/>
    <w:rsid w:val="0063533F"/>
    <w:rsid w:val="00640090"/>
    <w:rsid w:val="0064024B"/>
    <w:rsid w:val="00642563"/>
    <w:rsid w:val="00642686"/>
    <w:rsid w:val="00647108"/>
    <w:rsid w:val="00651A53"/>
    <w:rsid w:val="0065482B"/>
    <w:rsid w:val="0065573A"/>
    <w:rsid w:val="00660D83"/>
    <w:rsid w:val="0066233A"/>
    <w:rsid w:val="0066467F"/>
    <w:rsid w:val="00671FEF"/>
    <w:rsid w:val="0067655F"/>
    <w:rsid w:val="0068348B"/>
    <w:rsid w:val="00692E95"/>
    <w:rsid w:val="006935B9"/>
    <w:rsid w:val="00694254"/>
    <w:rsid w:val="006B4690"/>
    <w:rsid w:val="006B7237"/>
    <w:rsid w:val="006C61C1"/>
    <w:rsid w:val="006C7E89"/>
    <w:rsid w:val="006D3A4A"/>
    <w:rsid w:val="006D3FAF"/>
    <w:rsid w:val="006D5B69"/>
    <w:rsid w:val="006E3826"/>
    <w:rsid w:val="006E7A1E"/>
    <w:rsid w:val="006F549E"/>
    <w:rsid w:val="006F6419"/>
    <w:rsid w:val="006F79C1"/>
    <w:rsid w:val="00702254"/>
    <w:rsid w:val="007038B5"/>
    <w:rsid w:val="00703BEA"/>
    <w:rsid w:val="00710FF4"/>
    <w:rsid w:val="00711AFA"/>
    <w:rsid w:val="007122C5"/>
    <w:rsid w:val="0072164A"/>
    <w:rsid w:val="0072333B"/>
    <w:rsid w:val="0072545E"/>
    <w:rsid w:val="00726BA0"/>
    <w:rsid w:val="00730FFF"/>
    <w:rsid w:val="00734FFA"/>
    <w:rsid w:val="00743893"/>
    <w:rsid w:val="00744698"/>
    <w:rsid w:val="00746CE1"/>
    <w:rsid w:val="007478CC"/>
    <w:rsid w:val="00757611"/>
    <w:rsid w:val="0075766B"/>
    <w:rsid w:val="00763035"/>
    <w:rsid w:val="00773B7E"/>
    <w:rsid w:val="0077763B"/>
    <w:rsid w:val="00785B54"/>
    <w:rsid w:val="00786D8F"/>
    <w:rsid w:val="007953A4"/>
    <w:rsid w:val="007A0C2B"/>
    <w:rsid w:val="007A541F"/>
    <w:rsid w:val="007A6CA7"/>
    <w:rsid w:val="007B1A13"/>
    <w:rsid w:val="007B2C1A"/>
    <w:rsid w:val="007B30CD"/>
    <w:rsid w:val="007B3717"/>
    <w:rsid w:val="007B511E"/>
    <w:rsid w:val="007B53B2"/>
    <w:rsid w:val="007B66C1"/>
    <w:rsid w:val="007C0A3A"/>
    <w:rsid w:val="007D056B"/>
    <w:rsid w:val="007E18A7"/>
    <w:rsid w:val="007E281F"/>
    <w:rsid w:val="007E3C47"/>
    <w:rsid w:val="007E453A"/>
    <w:rsid w:val="007F3F9E"/>
    <w:rsid w:val="007F4648"/>
    <w:rsid w:val="008017A3"/>
    <w:rsid w:val="008021C3"/>
    <w:rsid w:val="00802B60"/>
    <w:rsid w:val="00811835"/>
    <w:rsid w:val="00813EB5"/>
    <w:rsid w:val="008158B2"/>
    <w:rsid w:val="00822ADA"/>
    <w:rsid w:val="00831985"/>
    <w:rsid w:val="008556AC"/>
    <w:rsid w:val="008621ED"/>
    <w:rsid w:val="00864469"/>
    <w:rsid w:val="008649D6"/>
    <w:rsid w:val="008738C4"/>
    <w:rsid w:val="00875582"/>
    <w:rsid w:val="008763C9"/>
    <w:rsid w:val="00880A9C"/>
    <w:rsid w:val="00890832"/>
    <w:rsid w:val="00893EEF"/>
    <w:rsid w:val="008A3BEB"/>
    <w:rsid w:val="008B2148"/>
    <w:rsid w:val="008B3517"/>
    <w:rsid w:val="008B3EAC"/>
    <w:rsid w:val="008C1488"/>
    <w:rsid w:val="008C2CA3"/>
    <w:rsid w:val="008C39B2"/>
    <w:rsid w:val="008C6210"/>
    <w:rsid w:val="008C6513"/>
    <w:rsid w:val="008D2D08"/>
    <w:rsid w:val="008D4467"/>
    <w:rsid w:val="008E12F1"/>
    <w:rsid w:val="008E1485"/>
    <w:rsid w:val="008E18EA"/>
    <w:rsid w:val="008E6208"/>
    <w:rsid w:val="008F0FA1"/>
    <w:rsid w:val="008F1336"/>
    <w:rsid w:val="00901E8B"/>
    <w:rsid w:val="00914D57"/>
    <w:rsid w:val="00930857"/>
    <w:rsid w:val="00930879"/>
    <w:rsid w:val="00930D6E"/>
    <w:rsid w:val="00934546"/>
    <w:rsid w:val="00942517"/>
    <w:rsid w:val="009452B2"/>
    <w:rsid w:val="009537F9"/>
    <w:rsid w:val="009545C4"/>
    <w:rsid w:val="00962D9E"/>
    <w:rsid w:val="009712B4"/>
    <w:rsid w:val="00980D8A"/>
    <w:rsid w:val="0098147F"/>
    <w:rsid w:val="00986E29"/>
    <w:rsid w:val="00994CE7"/>
    <w:rsid w:val="00996141"/>
    <w:rsid w:val="009A6A19"/>
    <w:rsid w:val="009B190F"/>
    <w:rsid w:val="009B1B7D"/>
    <w:rsid w:val="009B2CAE"/>
    <w:rsid w:val="009B7224"/>
    <w:rsid w:val="009C01B9"/>
    <w:rsid w:val="009D0930"/>
    <w:rsid w:val="009F2757"/>
    <w:rsid w:val="009F4FBD"/>
    <w:rsid w:val="009F7F3E"/>
    <w:rsid w:val="00A009D8"/>
    <w:rsid w:val="00A052F3"/>
    <w:rsid w:val="00A07F0D"/>
    <w:rsid w:val="00A11692"/>
    <w:rsid w:val="00A1193B"/>
    <w:rsid w:val="00A30297"/>
    <w:rsid w:val="00A33227"/>
    <w:rsid w:val="00A37948"/>
    <w:rsid w:val="00A53EB7"/>
    <w:rsid w:val="00A549C9"/>
    <w:rsid w:val="00A6009F"/>
    <w:rsid w:val="00A64D49"/>
    <w:rsid w:val="00A66F65"/>
    <w:rsid w:val="00A72065"/>
    <w:rsid w:val="00A72F1A"/>
    <w:rsid w:val="00A75B29"/>
    <w:rsid w:val="00A771DF"/>
    <w:rsid w:val="00A77695"/>
    <w:rsid w:val="00A823FE"/>
    <w:rsid w:val="00A83AE6"/>
    <w:rsid w:val="00A905FE"/>
    <w:rsid w:val="00A96877"/>
    <w:rsid w:val="00AA1961"/>
    <w:rsid w:val="00AB37C6"/>
    <w:rsid w:val="00AB4390"/>
    <w:rsid w:val="00AC0CCD"/>
    <w:rsid w:val="00AC2369"/>
    <w:rsid w:val="00AC694E"/>
    <w:rsid w:val="00AE1466"/>
    <w:rsid w:val="00AE1B25"/>
    <w:rsid w:val="00AE4DE9"/>
    <w:rsid w:val="00AF5616"/>
    <w:rsid w:val="00B05DD3"/>
    <w:rsid w:val="00B074F8"/>
    <w:rsid w:val="00B07510"/>
    <w:rsid w:val="00B106C0"/>
    <w:rsid w:val="00B11B24"/>
    <w:rsid w:val="00B23E13"/>
    <w:rsid w:val="00B2499A"/>
    <w:rsid w:val="00B25A3A"/>
    <w:rsid w:val="00B2687A"/>
    <w:rsid w:val="00B357EA"/>
    <w:rsid w:val="00B374EE"/>
    <w:rsid w:val="00B41E81"/>
    <w:rsid w:val="00B42763"/>
    <w:rsid w:val="00B5026D"/>
    <w:rsid w:val="00B545F3"/>
    <w:rsid w:val="00B5552F"/>
    <w:rsid w:val="00B60A94"/>
    <w:rsid w:val="00B63928"/>
    <w:rsid w:val="00B66A39"/>
    <w:rsid w:val="00B66B5A"/>
    <w:rsid w:val="00B769F2"/>
    <w:rsid w:val="00B779DF"/>
    <w:rsid w:val="00B84736"/>
    <w:rsid w:val="00B932DD"/>
    <w:rsid w:val="00B93FB3"/>
    <w:rsid w:val="00BA0A68"/>
    <w:rsid w:val="00BA5D6E"/>
    <w:rsid w:val="00BA615F"/>
    <w:rsid w:val="00BA6179"/>
    <w:rsid w:val="00BA6EDF"/>
    <w:rsid w:val="00BA7FA5"/>
    <w:rsid w:val="00BB05B6"/>
    <w:rsid w:val="00BB49EB"/>
    <w:rsid w:val="00BC6B6D"/>
    <w:rsid w:val="00BD2E7F"/>
    <w:rsid w:val="00BD610A"/>
    <w:rsid w:val="00BE29BC"/>
    <w:rsid w:val="00BE5833"/>
    <w:rsid w:val="00BF3064"/>
    <w:rsid w:val="00C03AF5"/>
    <w:rsid w:val="00C04910"/>
    <w:rsid w:val="00C17147"/>
    <w:rsid w:val="00C25659"/>
    <w:rsid w:val="00C326CF"/>
    <w:rsid w:val="00C36826"/>
    <w:rsid w:val="00C451B9"/>
    <w:rsid w:val="00C47FF9"/>
    <w:rsid w:val="00C540B7"/>
    <w:rsid w:val="00C547EA"/>
    <w:rsid w:val="00C5644F"/>
    <w:rsid w:val="00C60FBF"/>
    <w:rsid w:val="00C61E17"/>
    <w:rsid w:val="00C7548D"/>
    <w:rsid w:val="00C84563"/>
    <w:rsid w:val="00CA309B"/>
    <w:rsid w:val="00CA3645"/>
    <w:rsid w:val="00CA6F71"/>
    <w:rsid w:val="00CB4AB8"/>
    <w:rsid w:val="00CB5875"/>
    <w:rsid w:val="00CC108E"/>
    <w:rsid w:val="00CC5F76"/>
    <w:rsid w:val="00CC6862"/>
    <w:rsid w:val="00CD5FC1"/>
    <w:rsid w:val="00CE2BA5"/>
    <w:rsid w:val="00CF60B0"/>
    <w:rsid w:val="00CF741A"/>
    <w:rsid w:val="00D04926"/>
    <w:rsid w:val="00D07067"/>
    <w:rsid w:val="00D118BD"/>
    <w:rsid w:val="00D13F9B"/>
    <w:rsid w:val="00D14E1D"/>
    <w:rsid w:val="00D20E0A"/>
    <w:rsid w:val="00D213CB"/>
    <w:rsid w:val="00D30689"/>
    <w:rsid w:val="00D334BC"/>
    <w:rsid w:val="00D335E4"/>
    <w:rsid w:val="00D3582E"/>
    <w:rsid w:val="00D44197"/>
    <w:rsid w:val="00D4666F"/>
    <w:rsid w:val="00D5437A"/>
    <w:rsid w:val="00D60F53"/>
    <w:rsid w:val="00D6104F"/>
    <w:rsid w:val="00D61971"/>
    <w:rsid w:val="00D63161"/>
    <w:rsid w:val="00D77B2C"/>
    <w:rsid w:val="00D8045D"/>
    <w:rsid w:val="00D81202"/>
    <w:rsid w:val="00D814E9"/>
    <w:rsid w:val="00D8392E"/>
    <w:rsid w:val="00D84CA5"/>
    <w:rsid w:val="00D87053"/>
    <w:rsid w:val="00D87910"/>
    <w:rsid w:val="00D91104"/>
    <w:rsid w:val="00D920C5"/>
    <w:rsid w:val="00D93183"/>
    <w:rsid w:val="00D965AF"/>
    <w:rsid w:val="00D97C60"/>
    <w:rsid w:val="00DA0B10"/>
    <w:rsid w:val="00DA102D"/>
    <w:rsid w:val="00DA1304"/>
    <w:rsid w:val="00DA3DD5"/>
    <w:rsid w:val="00DB0CA4"/>
    <w:rsid w:val="00DB185C"/>
    <w:rsid w:val="00DB4477"/>
    <w:rsid w:val="00DC2E7E"/>
    <w:rsid w:val="00DC4A2C"/>
    <w:rsid w:val="00DC4FEC"/>
    <w:rsid w:val="00DD3056"/>
    <w:rsid w:val="00DE21D7"/>
    <w:rsid w:val="00DE5F08"/>
    <w:rsid w:val="00DE78C6"/>
    <w:rsid w:val="00DF1203"/>
    <w:rsid w:val="00DF20C5"/>
    <w:rsid w:val="00E01ADA"/>
    <w:rsid w:val="00E07B3A"/>
    <w:rsid w:val="00E1084A"/>
    <w:rsid w:val="00E12B7D"/>
    <w:rsid w:val="00E161B3"/>
    <w:rsid w:val="00E163E3"/>
    <w:rsid w:val="00E20AD7"/>
    <w:rsid w:val="00E22758"/>
    <w:rsid w:val="00E23402"/>
    <w:rsid w:val="00E254F9"/>
    <w:rsid w:val="00E315E8"/>
    <w:rsid w:val="00E346B5"/>
    <w:rsid w:val="00E349B4"/>
    <w:rsid w:val="00E37BAB"/>
    <w:rsid w:val="00E41E3E"/>
    <w:rsid w:val="00E43FEF"/>
    <w:rsid w:val="00E46AC3"/>
    <w:rsid w:val="00E474AE"/>
    <w:rsid w:val="00E53C6A"/>
    <w:rsid w:val="00E557BB"/>
    <w:rsid w:val="00E55915"/>
    <w:rsid w:val="00E57826"/>
    <w:rsid w:val="00E616FA"/>
    <w:rsid w:val="00E641E0"/>
    <w:rsid w:val="00E67439"/>
    <w:rsid w:val="00E70875"/>
    <w:rsid w:val="00E81BD8"/>
    <w:rsid w:val="00EA2123"/>
    <w:rsid w:val="00EA303C"/>
    <w:rsid w:val="00EA4168"/>
    <w:rsid w:val="00EB009E"/>
    <w:rsid w:val="00EB3506"/>
    <w:rsid w:val="00EB624D"/>
    <w:rsid w:val="00EC1DDD"/>
    <w:rsid w:val="00EC47EB"/>
    <w:rsid w:val="00EC61DE"/>
    <w:rsid w:val="00ED6F2D"/>
    <w:rsid w:val="00EE139D"/>
    <w:rsid w:val="00EE4C19"/>
    <w:rsid w:val="00EE7611"/>
    <w:rsid w:val="00F0044F"/>
    <w:rsid w:val="00F03443"/>
    <w:rsid w:val="00F1180F"/>
    <w:rsid w:val="00F15F6C"/>
    <w:rsid w:val="00F17255"/>
    <w:rsid w:val="00F216FA"/>
    <w:rsid w:val="00F2199B"/>
    <w:rsid w:val="00F27868"/>
    <w:rsid w:val="00F27DA9"/>
    <w:rsid w:val="00F31F9F"/>
    <w:rsid w:val="00F40C58"/>
    <w:rsid w:val="00F475F0"/>
    <w:rsid w:val="00F50563"/>
    <w:rsid w:val="00F5156C"/>
    <w:rsid w:val="00F52CD8"/>
    <w:rsid w:val="00F60360"/>
    <w:rsid w:val="00F62670"/>
    <w:rsid w:val="00F64AC4"/>
    <w:rsid w:val="00F67042"/>
    <w:rsid w:val="00F720C3"/>
    <w:rsid w:val="00F74B08"/>
    <w:rsid w:val="00F74F41"/>
    <w:rsid w:val="00F75B51"/>
    <w:rsid w:val="00F75D44"/>
    <w:rsid w:val="00F77FFB"/>
    <w:rsid w:val="00F83FC6"/>
    <w:rsid w:val="00F8419E"/>
    <w:rsid w:val="00F845FC"/>
    <w:rsid w:val="00F8790F"/>
    <w:rsid w:val="00F94E6A"/>
    <w:rsid w:val="00F97B03"/>
    <w:rsid w:val="00FA5C65"/>
    <w:rsid w:val="00FB1B71"/>
    <w:rsid w:val="00FB3E9F"/>
    <w:rsid w:val="00FB5875"/>
    <w:rsid w:val="00FB5964"/>
    <w:rsid w:val="00FC29C5"/>
    <w:rsid w:val="00FC4059"/>
    <w:rsid w:val="00FD20EA"/>
    <w:rsid w:val="00FE0299"/>
    <w:rsid w:val="00FE5D32"/>
    <w:rsid w:val="00FF4FDF"/>
    <w:rsid w:val="0131747F"/>
    <w:rsid w:val="015676BF"/>
    <w:rsid w:val="0179474B"/>
    <w:rsid w:val="0185498B"/>
    <w:rsid w:val="032F6F45"/>
    <w:rsid w:val="048552F8"/>
    <w:rsid w:val="04C44DDD"/>
    <w:rsid w:val="050071C0"/>
    <w:rsid w:val="069C2465"/>
    <w:rsid w:val="06FF4708"/>
    <w:rsid w:val="07354BE2"/>
    <w:rsid w:val="07B81938"/>
    <w:rsid w:val="07CB2B57"/>
    <w:rsid w:val="07EC308B"/>
    <w:rsid w:val="08115849"/>
    <w:rsid w:val="09DF6D3E"/>
    <w:rsid w:val="0BCB0E68"/>
    <w:rsid w:val="0D11117F"/>
    <w:rsid w:val="0EA9219A"/>
    <w:rsid w:val="0EAE6622"/>
    <w:rsid w:val="0F7563EB"/>
    <w:rsid w:val="0F80697A"/>
    <w:rsid w:val="10534754"/>
    <w:rsid w:val="10562895"/>
    <w:rsid w:val="11CF74C4"/>
    <w:rsid w:val="12EE791C"/>
    <w:rsid w:val="12F108A0"/>
    <w:rsid w:val="139C67BB"/>
    <w:rsid w:val="139E68C6"/>
    <w:rsid w:val="13AD22D8"/>
    <w:rsid w:val="14347C33"/>
    <w:rsid w:val="144349CA"/>
    <w:rsid w:val="14972B7C"/>
    <w:rsid w:val="14AF1AFB"/>
    <w:rsid w:val="14D80741"/>
    <w:rsid w:val="15447F4A"/>
    <w:rsid w:val="15584512"/>
    <w:rsid w:val="15BF2FBD"/>
    <w:rsid w:val="15C01FB9"/>
    <w:rsid w:val="160D33F7"/>
    <w:rsid w:val="162E6AF4"/>
    <w:rsid w:val="17543053"/>
    <w:rsid w:val="176645F2"/>
    <w:rsid w:val="17BD71FF"/>
    <w:rsid w:val="18B22F8F"/>
    <w:rsid w:val="192440FA"/>
    <w:rsid w:val="196A273E"/>
    <w:rsid w:val="19A91329"/>
    <w:rsid w:val="1A8D159C"/>
    <w:rsid w:val="1B01155A"/>
    <w:rsid w:val="1BCB44A6"/>
    <w:rsid w:val="1C951971"/>
    <w:rsid w:val="1CA05783"/>
    <w:rsid w:val="1CDC33EA"/>
    <w:rsid w:val="1DB10E44"/>
    <w:rsid w:val="1E1C04F3"/>
    <w:rsid w:val="1E29560A"/>
    <w:rsid w:val="1E5054CA"/>
    <w:rsid w:val="1EAE1E82"/>
    <w:rsid w:val="1EEE084B"/>
    <w:rsid w:val="1EF736D9"/>
    <w:rsid w:val="1FE91D68"/>
    <w:rsid w:val="1FEA19E8"/>
    <w:rsid w:val="207E5B72"/>
    <w:rsid w:val="20D40A6C"/>
    <w:rsid w:val="2185500C"/>
    <w:rsid w:val="21C24E71"/>
    <w:rsid w:val="234D23FA"/>
    <w:rsid w:val="240F46B6"/>
    <w:rsid w:val="242B0763"/>
    <w:rsid w:val="24BC0052"/>
    <w:rsid w:val="25893F23"/>
    <w:rsid w:val="25AA1ED9"/>
    <w:rsid w:val="25B03DE2"/>
    <w:rsid w:val="263E6EC9"/>
    <w:rsid w:val="2647305C"/>
    <w:rsid w:val="2665260C"/>
    <w:rsid w:val="26B3018D"/>
    <w:rsid w:val="26E36DD6"/>
    <w:rsid w:val="28043B56"/>
    <w:rsid w:val="28D336F1"/>
    <w:rsid w:val="2A012DF7"/>
    <w:rsid w:val="2A2777B4"/>
    <w:rsid w:val="2A3000C3"/>
    <w:rsid w:val="2A67601F"/>
    <w:rsid w:val="2AF43684"/>
    <w:rsid w:val="2B413784"/>
    <w:rsid w:val="2BF31029"/>
    <w:rsid w:val="2C06004A"/>
    <w:rsid w:val="2CCF5514"/>
    <w:rsid w:val="2CDA38A5"/>
    <w:rsid w:val="2CED4AC4"/>
    <w:rsid w:val="2D3816C0"/>
    <w:rsid w:val="2D7733A3"/>
    <w:rsid w:val="2DBF4E1C"/>
    <w:rsid w:val="2F0D6CBD"/>
    <w:rsid w:val="2F6B035B"/>
    <w:rsid w:val="2F96119F"/>
    <w:rsid w:val="30817EA3"/>
    <w:rsid w:val="31013C75"/>
    <w:rsid w:val="31494069"/>
    <w:rsid w:val="32A22EA4"/>
    <w:rsid w:val="32C25E54"/>
    <w:rsid w:val="32D95A79"/>
    <w:rsid w:val="32D973F6"/>
    <w:rsid w:val="332D48DA"/>
    <w:rsid w:val="33A07A40"/>
    <w:rsid w:val="343D5340"/>
    <w:rsid w:val="35026383"/>
    <w:rsid w:val="355C5798"/>
    <w:rsid w:val="35CA5DCC"/>
    <w:rsid w:val="376D09FB"/>
    <w:rsid w:val="37B67EF6"/>
    <w:rsid w:val="37FD60EC"/>
    <w:rsid w:val="38C735B6"/>
    <w:rsid w:val="3A270BF4"/>
    <w:rsid w:val="3A620091"/>
    <w:rsid w:val="3A9A61B4"/>
    <w:rsid w:val="3B4C67D8"/>
    <w:rsid w:val="3C3C60E0"/>
    <w:rsid w:val="3C5B0B93"/>
    <w:rsid w:val="3CF81D16"/>
    <w:rsid w:val="3D4E4CA4"/>
    <w:rsid w:val="3D6200C1"/>
    <w:rsid w:val="3D962E9A"/>
    <w:rsid w:val="3DF60935"/>
    <w:rsid w:val="3E2A2088"/>
    <w:rsid w:val="3EC42287"/>
    <w:rsid w:val="3F52439E"/>
    <w:rsid w:val="3F9C7D6C"/>
    <w:rsid w:val="405F7F9D"/>
    <w:rsid w:val="40FD66AE"/>
    <w:rsid w:val="415A0FC6"/>
    <w:rsid w:val="41AF06D0"/>
    <w:rsid w:val="41D00C05"/>
    <w:rsid w:val="42A866EA"/>
    <w:rsid w:val="42DE3341"/>
    <w:rsid w:val="438D556B"/>
    <w:rsid w:val="43F23209"/>
    <w:rsid w:val="45EA3344"/>
    <w:rsid w:val="465374F0"/>
    <w:rsid w:val="46A2666E"/>
    <w:rsid w:val="471A5C34"/>
    <w:rsid w:val="47C84AD3"/>
    <w:rsid w:val="481C0CDA"/>
    <w:rsid w:val="4A545481"/>
    <w:rsid w:val="4A791E3E"/>
    <w:rsid w:val="4ADC085D"/>
    <w:rsid w:val="4BE25B8D"/>
    <w:rsid w:val="4BEE199F"/>
    <w:rsid w:val="4CC94448"/>
    <w:rsid w:val="4CE9093D"/>
    <w:rsid w:val="4E884B66"/>
    <w:rsid w:val="4F2E2A40"/>
    <w:rsid w:val="4FA26BAE"/>
    <w:rsid w:val="4FAC1446"/>
    <w:rsid w:val="50C75416"/>
    <w:rsid w:val="50EE52D5"/>
    <w:rsid w:val="51F15DFD"/>
    <w:rsid w:val="527463D6"/>
    <w:rsid w:val="534D60B9"/>
    <w:rsid w:val="53653760"/>
    <w:rsid w:val="54B42188"/>
    <w:rsid w:val="558511DC"/>
    <w:rsid w:val="55E9238B"/>
    <w:rsid w:val="56532B2E"/>
    <w:rsid w:val="56DC5010"/>
    <w:rsid w:val="56E80E23"/>
    <w:rsid w:val="580E2E04"/>
    <w:rsid w:val="58587D80"/>
    <w:rsid w:val="58FD050E"/>
    <w:rsid w:val="593041E0"/>
    <w:rsid w:val="598629F0"/>
    <w:rsid w:val="598C5387"/>
    <w:rsid w:val="5AC34212"/>
    <w:rsid w:val="5B432946"/>
    <w:rsid w:val="5BEF4F58"/>
    <w:rsid w:val="5C0E3314"/>
    <w:rsid w:val="5C201030"/>
    <w:rsid w:val="5C915E6B"/>
    <w:rsid w:val="5C9E5181"/>
    <w:rsid w:val="5CDE0169"/>
    <w:rsid w:val="5DE97722"/>
    <w:rsid w:val="5E5644D2"/>
    <w:rsid w:val="5E677FF0"/>
    <w:rsid w:val="5E797F0A"/>
    <w:rsid w:val="5EA63358"/>
    <w:rsid w:val="5ED50624"/>
    <w:rsid w:val="5ED54F71"/>
    <w:rsid w:val="5F7A4635"/>
    <w:rsid w:val="5FA62EFB"/>
    <w:rsid w:val="5FAA7382"/>
    <w:rsid w:val="5FD03D3F"/>
    <w:rsid w:val="609A6C8B"/>
    <w:rsid w:val="61D50F91"/>
    <w:rsid w:val="620948E3"/>
    <w:rsid w:val="621A25FF"/>
    <w:rsid w:val="624834CE"/>
    <w:rsid w:val="62AC1A2B"/>
    <w:rsid w:val="62F12662"/>
    <w:rsid w:val="62FB742B"/>
    <w:rsid w:val="64562060"/>
    <w:rsid w:val="64E7729A"/>
    <w:rsid w:val="65254B81"/>
    <w:rsid w:val="65CC2D90"/>
    <w:rsid w:val="671E0D2F"/>
    <w:rsid w:val="672C74D4"/>
    <w:rsid w:val="673832E7"/>
    <w:rsid w:val="67D5446A"/>
    <w:rsid w:val="67D643E4"/>
    <w:rsid w:val="68953223"/>
    <w:rsid w:val="68DC0114"/>
    <w:rsid w:val="690470DA"/>
    <w:rsid w:val="6A0333FA"/>
    <w:rsid w:val="6AD92401"/>
    <w:rsid w:val="6B1A09C3"/>
    <w:rsid w:val="6C642F64"/>
    <w:rsid w:val="6D06056F"/>
    <w:rsid w:val="6D6A2812"/>
    <w:rsid w:val="6E1703AC"/>
    <w:rsid w:val="6E255143"/>
    <w:rsid w:val="6E620A03"/>
    <w:rsid w:val="6FDB3510"/>
    <w:rsid w:val="703A6DAC"/>
    <w:rsid w:val="70452BBF"/>
    <w:rsid w:val="706A537D"/>
    <w:rsid w:val="70876EAC"/>
    <w:rsid w:val="70AB0365"/>
    <w:rsid w:val="70C64412"/>
    <w:rsid w:val="70D97BAF"/>
    <w:rsid w:val="7174146B"/>
    <w:rsid w:val="71CE254E"/>
    <w:rsid w:val="7298210F"/>
    <w:rsid w:val="73231CF3"/>
    <w:rsid w:val="732A09FA"/>
    <w:rsid w:val="73376795"/>
    <w:rsid w:val="73794C80"/>
    <w:rsid w:val="743A1013"/>
    <w:rsid w:val="74FB517C"/>
    <w:rsid w:val="7571063E"/>
    <w:rsid w:val="76E44C9C"/>
    <w:rsid w:val="77832E5D"/>
    <w:rsid w:val="7809377A"/>
    <w:rsid w:val="78CA163A"/>
    <w:rsid w:val="79042718"/>
    <w:rsid w:val="792C25D8"/>
    <w:rsid w:val="79653A37"/>
    <w:rsid w:val="79E22107"/>
    <w:rsid w:val="7AA546C9"/>
    <w:rsid w:val="7AC96B81"/>
    <w:rsid w:val="7AEE5ABC"/>
    <w:rsid w:val="7AF357C7"/>
    <w:rsid w:val="7B716095"/>
    <w:rsid w:val="7B84309D"/>
    <w:rsid w:val="7BD01932"/>
    <w:rsid w:val="7BFB4974"/>
    <w:rsid w:val="7C01687E"/>
    <w:rsid w:val="7CC47C40"/>
    <w:rsid w:val="7D9E75A3"/>
    <w:rsid w:val="7E06544D"/>
    <w:rsid w:val="7E163D6A"/>
    <w:rsid w:val="7E4C4244"/>
    <w:rsid w:val="7E8F5FB2"/>
    <w:rsid w:val="7EE37C3B"/>
    <w:rsid w:val="7F544A77"/>
    <w:rsid w:val="7FC0595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semiHidden="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Document Map"/>
    <w:basedOn w:val="1"/>
    <w:link w:val="18"/>
    <w:unhideWhenUsed/>
    <w:uiPriority w:val="0"/>
    <w:rPr>
      <w:rFonts w:ascii="宋体"/>
      <w:sz w:val="18"/>
      <w:szCs w:val="18"/>
    </w:rPr>
  </w:style>
  <w:style w:type="paragraph" w:styleId="3">
    <w:name w:val="Balloon Text"/>
    <w:basedOn w:val="1"/>
    <w:link w:val="17"/>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unhideWhenUsed/>
    <w:uiPriority w:val="99"/>
    <w:pPr>
      <w:snapToGrid w:val="0"/>
      <w:jc w:val="left"/>
    </w:pPr>
    <w:rPr>
      <w:sz w:val="18"/>
      <w:szCs w:val="18"/>
    </w:rPr>
  </w:style>
  <w:style w:type="character" w:styleId="8">
    <w:name w:val="FollowedHyperlink"/>
    <w:basedOn w:val="7"/>
    <w:unhideWhenUsed/>
    <w:uiPriority w:val="0"/>
    <w:rPr>
      <w:color w:val="666666"/>
      <w:u w:val="none"/>
    </w:rPr>
  </w:style>
  <w:style w:type="character" w:styleId="9">
    <w:name w:val="Emphasis"/>
    <w:basedOn w:val="7"/>
    <w:qFormat/>
    <w:uiPriority w:val="20"/>
    <w:rPr/>
  </w:style>
  <w:style w:type="character" w:styleId="10">
    <w:name w:val="Hyperlink"/>
    <w:basedOn w:val="7"/>
    <w:unhideWhenUsed/>
    <w:uiPriority w:val="0"/>
    <w:rPr>
      <w:color w:val="666666"/>
      <w:u w:val="none"/>
    </w:rPr>
  </w:style>
  <w:style w:type="character" w:styleId="11">
    <w:name w:val="footnote reference"/>
    <w:basedOn w:val="7"/>
    <w:unhideWhenUsed/>
    <w:uiPriority w:val="99"/>
    <w:rPr>
      <w:vertAlign w:val="superscript"/>
    </w:rPr>
  </w:style>
  <w:style w:type="paragraph" w:customStyle="1" w:styleId="13">
    <w:name w:val="Char1"/>
    <w:basedOn w:val="1"/>
    <w:uiPriority w:val="0"/>
    <w:pPr>
      <w:snapToGrid w:val="0"/>
      <w:spacing w:line="360" w:lineRule="auto"/>
      <w:ind w:firstLine="200" w:firstLineChars="200"/>
    </w:pPr>
    <w:rPr>
      <w:rFonts w:ascii="黑体" w:hAnsi="宋体" w:eastAsia="仿宋_GB2312"/>
      <w:sz w:val="24"/>
      <w:szCs w:val="24"/>
    </w:rPr>
  </w:style>
  <w:style w:type="character" w:customStyle="1" w:styleId="14">
    <w:name w:val="页眉 Char"/>
    <w:basedOn w:val="7"/>
    <w:link w:val="5"/>
    <w:semiHidden/>
    <w:uiPriority w:val="99"/>
    <w:rPr>
      <w:sz w:val="18"/>
      <w:szCs w:val="18"/>
    </w:rPr>
  </w:style>
  <w:style w:type="character" w:customStyle="1" w:styleId="15">
    <w:name w:val="页脚 Char"/>
    <w:basedOn w:val="7"/>
    <w:link w:val="4"/>
    <w:qFormat/>
    <w:uiPriority w:val="99"/>
    <w:rPr>
      <w:sz w:val="18"/>
      <w:szCs w:val="18"/>
    </w:rPr>
  </w:style>
  <w:style w:type="character" w:customStyle="1" w:styleId="16">
    <w:name w:val="脚注文本 Char"/>
    <w:basedOn w:val="7"/>
    <w:link w:val="6"/>
    <w:uiPriority w:val="99"/>
    <w:rPr>
      <w:rFonts w:ascii="Calibri" w:hAnsi="Calibri" w:eastAsia="宋体" w:cs="黑体"/>
      <w:sz w:val="18"/>
      <w:szCs w:val="18"/>
    </w:rPr>
  </w:style>
  <w:style w:type="character" w:customStyle="1" w:styleId="17">
    <w:name w:val="批注框文本 Char"/>
    <w:basedOn w:val="7"/>
    <w:link w:val="3"/>
    <w:semiHidden/>
    <w:uiPriority w:val="99"/>
    <w:rPr>
      <w:sz w:val="18"/>
      <w:szCs w:val="18"/>
    </w:rPr>
  </w:style>
  <w:style w:type="character" w:customStyle="1" w:styleId="18">
    <w:name w:val="文档结构图 Char"/>
    <w:basedOn w:val="7"/>
    <w:link w:val="2"/>
    <w:semiHidden/>
    <w:uiPriority w:val="0"/>
    <w:rPr>
      <w:rFonts w:ascii="宋体"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705</Words>
  <Characters>4020</Characters>
  <Lines>33</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2016-04-22T08:34:00Z</dcterms:created>
  <dc:creator>刁诚诚</dc:creator>
  <cp:lastModifiedBy>GFY</cp:lastModifiedBy>
  <cp:lastPrinted>2016-05-11T08:03:00Z</cp:lastPrinted>
  <dcterms:modified xsi:type="dcterms:W3CDTF">2016-05-12T03:38:41Z</dcterms:modified>
  <dc:title>工业和信息化部 财政部关于组织实施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